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0BBA4C" w14:textId="0A6F8E7B" w:rsidR="005D7BC2" w:rsidRDefault="005D7BC2" w:rsidP="00F27C83">
      <w:pPr>
        <w:rPr>
          <w:rFonts w:ascii="Arial" w:hAnsi="Arial" w:cs="Arial"/>
          <w:b/>
          <w:i/>
          <w:color w:val="2F5496" w:themeColor="accent5" w:themeShade="BF"/>
        </w:rPr>
      </w:pPr>
    </w:p>
    <w:p w14:paraId="38C6B880" w14:textId="77777777" w:rsidR="00022B2D" w:rsidRDefault="00022B2D" w:rsidP="00022B2D">
      <w:pPr>
        <w:rPr>
          <w:rFonts w:ascii="Arial" w:hAnsi="Arial" w:cs="Arial"/>
          <w:b/>
          <w:sz w:val="28"/>
          <w:szCs w:val="28"/>
        </w:rPr>
      </w:pPr>
    </w:p>
    <w:p w14:paraId="4A83077D" w14:textId="77777777" w:rsidR="00022B2D" w:rsidRDefault="00022B2D" w:rsidP="00022B2D">
      <w:pPr>
        <w:rPr>
          <w:rFonts w:ascii="Arial" w:hAnsi="Arial" w:cs="Arial"/>
          <w:b/>
          <w:sz w:val="28"/>
          <w:szCs w:val="28"/>
        </w:rPr>
      </w:pPr>
    </w:p>
    <w:p w14:paraId="1EE68453" w14:textId="77777777" w:rsidR="00022B2D" w:rsidRDefault="00022B2D" w:rsidP="00022B2D">
      <w:pPr>
        <w:rPr>
          <w:rFonts w:ascii="Arial" w:hAnsi="Arial" w:cs="Arial"/>
          <w:b/>
          <w:sz w:val="28"/>
          <w:szCs w:val="28"/>
        </w:rPr>
      </w:pPr>
    </w:p>
    <w:p w14:paraId="204B863C" w14:textId="77777777" w:rsidR="00022B2D" w:rsidRDefault="00022B2D" w:rsidP="00022B2D">
      <w:pPr>
        <w:rPr>
          <w:rFonts w:ascii="Arial" w:hAnsi="Arial" w:cs="Arial"/>
          <w:b/>
          <w:sz w:val="28"/>
          <w:szCs w:val="28"/>
        </w:rPr>
      </w:pPr>
    </w:p>
    <w:p w14:paraId="453BC6C7" w14:textId="77777777" w:rsidR="00022B2D" w:rsidRDefault="00022B2D" w:rsidP="00022B2D">
      <w:pPr>
        <w:rPr>
          <w:rFonts w:ascii="Arial" w:hAnsi="Arial" w:cs="Arial"/>
          <w:b/>
          <w:sz w:val="28"/>
          <w:szCs w:val="28"/>
        </w:rPr>
      </w:pPr>
    </w:p>
    <w:p w14:paraId="0639BBE6" w14:textId="77777777" w:rsidR="00022B2D" w:rsidRDefault="00022B2D" w:rsidP="00022B2D">
      <w:pPr>
        <w:rPr>
          <w:rFonts w:ascii="Arial" w:hAnsi="Arial" w:cs="Arial"/>
          <w:b/>
          <w:sz w:val="28"/>
          <w:szCs w:val="28"/>
        </w:rPr>
      </w:pPr>
    </w:p>
    <w:p w14:paraId="7B72BCBD" w14:textId="21459A36" w:rsidR="00022B2D" w:rsidRPr="00022B2D" w:rsidRDefault="00022B2D" w:rsidP="00022B2D">
      <w:pPr>
        <w:jc w:val="center"/>
        <w:rPr>
          <w:rFonts w:ascii="Arial" w:hAnsi="Arial" w:cs="Arial"/>
          <w:b/>
          <w:color w:val="2F5496" w:themeColor="accent5" w:themeShade="BF"/>
          <w:sz w:val="32"/>
          <w:szCs w:val="32"/>
        </w:rPr>
      </w:pPr>
      <w:r w:rsidRPr="00022B2D">
        <w:rPr>
          <w:rFonts w:ascii="Arial" w:hAnsi="Arial" w:cs="Arial"/>
          <w:b/>
          <w:sz w:val="32"/>
          <w:szCs w:val="32"/>
        </w:rPr>
        <w:t>Queensland Multicultural Policy ‘Our story, our future’</w:t>
      </w:r>
    </w:p>
    <w:p w14:paraId="7BBFA05C" w14:textId="77777777" w:rsidR="00022B2D" w:rsidRPr="00022B2D" w:rsidRDefault="00022B2D" w:rsidP="00022B2D">
      <w:pPr>
        <w:pStyle w:val="Header"/>
        <w:jc w:val="center"/>
        <w:rPr>
          <w:rFonts w:ascii="Arial" w:hAnsi="Arial" w:cs="Arial"/>
          <w:b/>
          <w:sz w:val="32"/>
          <w:szCs w:val="32"/>
        </w:rPr>
      </w:pPr>
      <w:r w:rsidRPr="00022B2D">
        <w:rPr>
          <w:rFonts w:ascii="Arial" w:hAnsi="Arial" w:cs="Arial"/>
          <w:b/>
          <w:sz w:val="32"/>
          <w:szCs w:val="32"/>
        </w:rPr>
        <w:t>Queensland Multicultural Action Plan 2019-20 to 2021-22</w:t>
      </w:r>
    </w:p>
    <w:p w14:paraId="0177D373" w14:textId="77777777" w:rsidR="00022B2D" w:rsidRPr="00B56B9C" w:rsidRDefault="00022B2D" w:rsidP="00022B2D">
      <w:pPr>
        <w:pStyle w:val="Header"/>
        <w:jc w:val="center"/>
        <w:rPr>
          <w:rFonts w:ascii="Arial" w:hAnsi="Arial" w:cs="Arial"/>
          <w:b/>
          <w:sz w:val="18"/>
          <w:szCs w:val="18"/>
        </w:rPr>
      </w:pPr>
    </w:p>
    <w:p w14:paraId="48E7D8B1" w14:textId="77777777" w:rsidR="00022B2D" w:rsidRDefault="00022B2D" w:rsidP="00022B2D">
      <w:pPr>
        <w:pStyle w:val="Header"/>
        <w:jc w:val="center"/>
        <w:rPr>
          <w:rFonts w:ascii="Arial" w:hAnsi="Arial" w:cs="Arial"/>
          <w:b/>
          <w:sz w:val="28"/>
          <w:szCs w:val="28"/>
        </w:rPr>
      </w:pPr>
    </w:p>
    <w:p w14:paraId="6CF79726" w14:textId="0170C8A2" w:rsidR="00022B2D" w:rsidRDefault="00022B2D" w:rsidP="00022B2D">
      <w:pPr>
        <w:pStyle w:val="Header"/>
        <w:jc w:val="center"/>
        <w:rPr>
          <w:rFonts w:ascii="Arial" w:hAnsi="Arial" w:cs="Arial"/>
          <w:b/>
          <w:sz w:val="28"/>
          <w:szCs w:val="28"/>
        </w:rPr>
      </w:pPr>
      <w:r w:rsidRPr="005D7BC2">
        <w:rPr>
          <w:rFonts w:ascii="Arial" w:hAnsi="Arial" w:cs="Arial"/>
          <w:b/>
          <w:sz w:val="28"/>
          <w:szCs w:val="28"/>
        </w:rPr>
        <w:t>Annual Repor</w:t>
      </w:r>
      <w:r>
        <w:rPr>
          <w:rFonts w:ascii="Arial" w:hAnsi="Arial" w:cs="Arial"/>
          <w:b/>
          <w:sz w:val="28"/>
          <w:szCs w:val="28"/>
        </w:rPr>
        <w:t xml:space="preserve">ting for </w:t>
      </w:r>
      <w:r w:rsidRPr="005D7BC2">
        <w:rPr>
          <w:rFonts w:ascii="Arial" w:hAnsi="Arial" w:cs="Arial"/>
          <w:b/>
          <w:sz w:val="28"/>
          <w:szCs w:val="28"/>
        </w:rPr>
        <w:t>201</w:t>
      </w:r>
      <w:r>
        <w:rPr>
          <w:rFonts w:ascii="Arial" w:hAnsi="Arial" w:cs="Arial"/>
          <w:b/>
          <w:sz w:val="28"/>
          <w:szCs w:val="28"/>
        </w:rPr>
        <w:t>9</w:t>
      </w:r>
      <w:r w:rsidRPr="005D7BC2">
        <w:rPr>
          <w:rFonts w:ascii="Arial" w:hAnsi="Arial" w:cs="Arial"/>
          <w:b/>
          <w:sz w:val="28"/>
          <w:szCs w:val="28"/>
        </w:rPr>
        <w:t>-</w:t>
      </w:r>
      <w:r>
        <w:rPr>
          <w:rFonts w:ascii="Arial" w:hAnsi="Arial" w:cs="Arial"/>
          <w:b/>
          <w:sz w:val="28"/>
          <w:szCs w:val="28"/>
        </w:rPr>
        <w:t>20</w:t>
      </w:r>
    </w:p>
    <w:p w14:paraId="5ECDA985" w14:textId="77777777" w:rsidR="00022B2D" w:rsidRPr="00B56B9C" w:rsidRDefault="00022B2D" w:rsidP="00022B2D">
      <w:pPr>
        <w:pStyle w:val="Header"/>
        <w:jc w:val="center"/>
        <w:rPr>
          <w:rFonts w:ascii="Arial" w:hAnsi="Arial" w:cs="Arial"/>
          <w:b/>
          <w:sz w:val="28"/>
          <w:szCs w:val="28"/>
        </w:rPr>
      </w:pPr>
    </w:p>
    <w:p w14:paraId="408CFA7F" w14:textId="5A72CC39" w:rsidR="00022B2D" w:rsidRPr="00022B2D" w:rsidRDefault="00022B2D" w:rsidP="00022B2D">
      <w:pPr>
        <w:pStyle w:val="Header"/>
        <w:jc w:val="center"/>
      </w:pPr>
      <w:r>
        <w:rPr>
          <w:rFonts w:ascii="Arial" w:hAnsi="Arial" w:cs="Arial"/>
          <w:b/>
        </w:rPr>
        <w:t>QUEENSLAND MENTAL HEALTH COMMISSION</w:t>
      </w:r>
    </w:p>
    <w:p w14:paraId="5E746282" w14:textId="77777777" w:rsidR="00DC52C9" w:rsidRPr="005D7BC2" w:rsidRDefault="00DC52C9" w:rsidP="00F27C83">
      <w:pPr>
        <w:rPr>
          <w:rFonts w:ascii="Arial" w:hAnsi="Arial" w:cs="Arial"/>
          <w:b/>
          <w:color w:val="2F5496" w:themeColor="accent5" w:themeShade="BF"/>
        </w:rPr>
        <w:sectPr w:rsidR="00DC52C9" w:rsidRPr="005D7BC2" w:rsidSect="00CD5C50">
          <w:footerReference w:type="default" r:id="rId8"/>
          <w:pgSz w:w="11906" w:h="16838"/>
          <w:pgMar w:top="1440" w:right="1440" w:bottom="1276" w:left="1440" w:header="708" w:footer="708" w:gutter="0"/>
          <w:cols w:space="708"/>
          <w:titlePg/>
          <w:docGrid w:linePitch="360"/>
        </w:sectPr>
      </w:pPr>
    </w:p>
    <w:p w14:paraId="34E98348" w14:textId="5CD7D0DC" w:rsidR="00F27C83" w:rsidRPr="00853CBB" w:rsidRDefault="00F27C83" w:rsidP="00F27C83">
      <w:pPr>
        <w:rPr>
          <w:rFonts w:ascii="Arial" w:hAnsi="Arial" w:cs="Arial"/>
          <w:b/>
          <w:sz w:val="36"/>
          <w:szCs w:val="36"/>
        </w:rPr>
      </w:pPr>
      <w:r w:rsidRPr="00853CBB">
        <w:rPr>
          <w:rFonts w:ascii="Arial" w:hAnsi="Arial" w:cs="Arial"/>
          <w:b/>
          <w:sz w:val="36"/>
          <w:szCs w:val="36"/>
        </w:rPr>
        <w:lastRenderedPageBreak/>
        <w:t>Background</w:t>
      </w:r>
    </w:p>
    <w:p w14:paraId="128E119F" w14:textId="77777777" w:rsidR="001F1E36" w:rsidRDefault="001F1E36" w:rsidP="001F1E36">
      <w:pPr>
        <w:pStyle w:val="ListParagraph"/>
        <w:numPr>
          <w:ilvl w:val="0"/>
          <w:numId w:val="7"/>
        </w:numPr>
        <w:suppressAutoHyphens/>
        <w:spacing w:after="100" w:line="240" w:lineRule="auto"/>
        <w:ind w:left="357" w:hanging="357"/>
        <w:contextualSpacing w:val="0"/>
        <w:rPr>
          <w:rFonts w:ascii="Arial" w:hAnsi="Arial" w:cs="Arial"/>
        </w:rPr>
      </w:pPr>
      <w:r w:rsidRPr="005D7BC2">
        <w:rPr>
          <w:rFonts w:ascii="Arial" w:hAnsi="Arial" w:cs="Arial"/>
        </w:rPr>
        <w:t xml:space="preserve">‘Our story, our future’ is the Queensland Government’s </w:t>
      </w:r>
      <w:r>
        <w:rPr>
          <w:rFonts w:ascii="Arial" w:hAnsi="Arial" w:cs="Arial"/>
        </w:rPr>
        <w:t>M</w:t>
      </w:r>
      <w:r w:rsidRPr="005D7BC2">
        <w:rPr>
          <w:rFonts w:ascii="Arial" w:hAnsi="Arial" w:cs="Arial"/>
        </w:rPr>
        <w:t xml:space="preserve">ulticultural </w:t>
      </w:r>
      <w:r>
        <w:rPr>
          <w:rFonts w:ascii="Arial" w:hAnsi="Arial" w:cs="Arial"/>
        </w:rPr>
        <w:t>P</w:t>
      </w:r>
      <w:r w:rsidRPr="005D7BC2">
        <w:rPr>
          <w:rFonts w:ascii="Arial" w:hAnsi="Arial" w:cs="Arial"/>
        </w:rPr>
        <w:t xml:space="preserve">olicy </w:t>
      </w:r>
      <w:r>
        <w:rPr>
          <w:rFonts w:ascii="Arial" w:hAnsi="Arial" w:cs="Arial"/>
        </w:rPr>
        <w:t xml:space="preserve">(the Policy) </w:t>
      </w:r>
      <w:r w:rsidRPr="005D7BC2">
        <w:rPr>
          <w:rFonts w:ascii="Arial" w:hAnsi="Arial" w:cs="Arial"/>
        </w:rPr>
        <w:t xml:space="preserve">promoting an inclusive, harmonious and united community for Queensland. </w:t>
      </w:r>
    </w:p>
    <w:p w14:paraId="6F46C5D8" w14:textId="13E8442F" w:rsidR="001F1E36" w:rsidRPr="005D7BC2" w:rsidRDefault="001F1E36" w:rsidP="001F1E36">
      <w:pPr>
        <w:pStyle w:val="ListParagraph"/>
        <w:numPr>
          <w:ilvl w:val="0"/>
          <w:numId w:val="7"/>
        </w:numPr>
        <w:suppressAutoHyphens/>
        <w:spacing w:after="100" w:line="240" w:lineRule="auto"/>
        <w:ind w:left="357" w:hanging="357"/>
        <w:contextualSpacing w:val="0"/>
        <w:rPr>
          <w:rFonts w:ascii="Arial" w:hAnsi="Arial" w:cs="Arial"/>
        </w:rPr>
      </w:pPr>
      <w:r w:rsidRPr="005D7BC2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P</w:t>
      </w:r>
      <w:r w:rsidRPr="005D7BC2">
        <w:rPr>
          <w:rFonts w:ascii="Arial" w:hAnsi="Arial" w:cs="Arial"/>
        </w:rPr>
        <w:t xml:space="preserve">olicy focuses Queensland Government action on three policy priorities for culturally diverse communities and Queensland as a whole – </w:t>
      </w:r>
      <w:r>
        <w:rPr>
          <w:rFonts w:ascii="Arial" w:hAnsi="Arial" w:cs="Arial"/>
        </w:rPr>
        <w:t xml:space="preserve">(1) </w:t>
      </w:r>
      <w:r w:rsidRPr="005D7BC2">
        <w:rPr>
          <w:rFonts w:ascii="Arial" w:hAnsi="Arial" w:cs="Arial"/>
        </w:rPr>
        <w:t>achieving c</w:t>
      </w:r>
      <w:r>
        <w:rPr>
          <w:rFonts w:ascii="Arial" w:hAnsi="Arial" w:cs="Arial"/>
        </w:rPr>
        <w:t>ulturally responsive government</w:t>
      </w:r>
      <w:r w:rsidR="00CD5C50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(2)</w:t>
      </w:r>
      <w:r w:rsidRPr="005D7BC2">
        <w:rPr>
          <w:rFonts w:ascii="Arial" w:hAnsi="Arial" w:cs="Arial"/>
        </w:rPr>
        <w:t xml:space="preserve"> supporting inclusive, ha</w:t>
      </w:r>
      <w:r>
        <w:rPr>
          <w:rFonts w:ascii="Arial" w:hAnsi="Arial" w:cs="Arial"/>
        </w:rPr>
        <w:t>rmonious and united communities</w:t>
      </w:r>
      <w:r w:rsidRPr="005D7BC2">
        <w:rPr>
          <w:rFonts w:ascii="Arial" w:hAnsi="Arial" w:cs="Arial"/>
        </w:rPr>
        <w:t xml:space="preserve"> and </w:t>
      </w:r>
      <w:r>
        <w:rPr>
          <w:rFonts w:ascii="Arial" w:hAnsi="Arial" w:cs="Arial"/>
        </w:rPr>
        <w:t xml:space="preserve">(3) </w:t>
      </w:r>
      <w:r w:rsidRPr="005D7BC2">
        <w:rPr>
          <w:rFonts w:ascii="Arial" w:hAnsi="Arial" w:cs="Arial"/>
        </w:rPr>
        <w:t xml:space="preserve">improving economic opportunities. </w:t>
      </w:r>
    </w:p>
    <w:p w14:paraId="0920DB72" w14:textId="77777777" w:rsidR="001F1E36" w:rsidRPr="005D7BC2" w:rsidRDefault="001F1E36" w:rsidP="001F1E36">
      <w:pPr>
        <w:pStyle w:val="ListParagraph"/>
        <w:numPr>
          <w:ilvl w:val="0"/>
          <w:numId w:val="7"/>
        </w:numPr>
        <w:suppressAutoHyphens/>
        <w:spacing w:after="100" w:line="240" w:lineRule="auto"/>
        <w:ind w:left="357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The</w:t>
      </w:r>
      <w:r w:rsidRPr="005D7BC2">
        <w:rPr>
          <w:rFonts w:ascii="Arial" w:hAnsi="Arial" w:cs="Arial"/>
        </w:rPr>
        <w:t xml:space="preserve"> Queensland Multicultural Action </w:t>
      </w:r>
      <w:r w:rsidRPr="00F92C95">
        <w:rPr>
          <w:rFonts w:ascii="Arial" w:hAnsi="Arial" w:cs="Arial"/>
        </w:rPr>
        <w:t>Plan 2019-20 to 2021-22</w:t>
      </w:r>
      <w:r>
        <w:rPr>
          <w:rFonts w:ascii="Arial" w:hAnsi="Arial" w:cs="Arial"/>
        </w:rPr>
        <w:t xml:space="preserve"> (the Action Plan) is the second Multicultural Action Plan released under </w:t>
      </w:r>
      <w:r w:rsidRPr="005D7BC2">
        <w:rPr>
          <w:rFonts w:ascii="Arial" w:hAnsi="Arial" w:cs="Arial"/>
          <w:i/>
        </w:rPr>
        <w:t>Multicultural Recognition Act 2016</w:t>
      </w:r>
      <w:r w:rsidRPr="005D7BC2">
        <w:rPr>
          <w:rFonts w:ascii="Arial" w:hAnsi="Arial" w:cs="Arial"/>
        </w:rPr>
        <w:t xml:space="preserve"> (the Act)</w:t>
      </w:r>
      <w:r>
        <w:rPr>
          <w:rFonts w:ascii="Arial" w:hAnsi="Arial" w:cs="Arial"/>
        </w:rPr>
        <w:t xml:space="preserve">. It builds on </w:t>
      </w:r>
      <w:r w:rsidRPr="00395D80">
        <w:rPr>
          <w:rFonts w:ascii="Arial" w:hAnsi="Arial" w:cs="Arial"/>
        </w:rPr>
        <w:t xml:space="preserve">outcomes achieved under the first </w:t>
      </w:r>
      <w:hyperlink r:id="rId9" w:history="1">
        <w:r w:rsidRPr="00395D80">
          <w:rPr>
            <w:rStyle w:val="Hyperlink"/>
            <w:rFonts w:ascii="Arial" w:hAnsi="Arial" w:cs="Arial"/>
          </w:rPr>
          <w:t>Multicultural Action Plan</w:t>
        </w:r>
      </w:hyperlink>
      <w:r w:rsidRPr="00395D80">
        <w:rPr>
          <w:rFonts w:ascii="Arial" w:hAnsi="Arial" w:cs="Arial"/>
        </w:rPr>
        <w:t>, and will continue to drive Queensland Government action to support an environment of opportunity and achieve improved social and economic outcomes for people from culturally diverse backgrounds</w:t>
      </w:r>
      <w:r>
        <w:rPr>
          <w:rFonts w:ascii="Arial" w:hAnsi="Arial" w:cs="Arial"/>
        </w:rPr>
        <w:t>.</w:t>
      </w:r>
    </w:p>
    <w:p w14:paraId="4C8F4E26" w14:textId="77777777" w:rsidR="001F1E36" w:rsidRPr="005D7BC2" w:rsidRDefault="001F1E36" w:rsidP="001F1E36">
      <w:pPr>
        <w:pStyle w:val="ListParagraph"/>
        <w:numPr>
          <w:ilvl w:val="0"/>
          <w:numId w:val="7"/>
        </w:numPr>
        <w:suppressAutoHyphens/>
        <w:spacing w:after="100" w:line="240" w:lineRule="auto"/>
        <w:ind w:left="357" w:hanging="357"/>
        <w:contextualSpacing w:val="0"/>
        <w:rPr>
          <w:rFonts w:ascii="Arial" w:hAnsi="Arial" w:cs="Arial"/>
        </w:rPr>
      </w:pPr>
      <w:r w:rsidRPr="005D7BC2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P</w:t>
      </w:r>
      <w:r w:rsidRPr="005D7BC2">
        <w:rPr>
          <w:rFonts w:ascii="Arial" w:hAnsi="Arial" w:cs="Arial"/>
        </w:rPr>
        <w:t xml:space="preserve">olicy and </w:t>
      </w:r>
      <w:r>
        <w:rPr>
          <w:rFonts w:ascii="Arial" w:hAnsi="Arial" w:cs="Arial"/>
        </w:rPr>
        <w:t>A</w:t>
      </w:r>
      <w:r w:rsidRPr="005D7BC2">
        <w:rPr>
          <w:rFonts w:ascii="Arial" w:hAnsi="Arial" w:cs="Arial"/>
        </w:rPr>
        <w:t xml:space="preserve">ction </w:t>
      </w:r>
      <w:r>
        <w:rPr>
          <w:rFonts w:ascii="Arial" w:hAnsi="Arial" w:cs="Arial"/>
        </w:rPr>
        <w:t>P</w:t>
      </w:r>
      <w:r w:rsidRPr="005D7BC2">
        <w:rPr>
          <w:rFonts w:ascii="Arial" w:hAnsi="Arial" w:cs="Arial"/>
        </w:rPr>
        <w:t>lan are a requirement of the Act and represent one of three key provisions</w:t>
      </w:r>
      <w:r>
        <w:rPr>
          <w:rFonts w:ascii="Arial" w:hAnsi="Arial" w:cs="Arial"/>
        </w:rPr>
        <w:t xml:space="preserve"> of the Act,</w:t>
      </w:r>
      <w:r w:rsidRPr="005D7BC2">
        <w:rPr>
          <w:rFonts w:ascii="Arial" w:hAnsi="Arial" w:cs="Arial"/>
        </w:rPr>
        <w:t xml:space="preserve"> together with establish</w:t>
      </w:r>
      <w:r>
        <w:rPr>
          <w:rFonts w:ascii="Arial" w:hAnsi="Arial" w:cs="Arial"/>
        </w:rPr>
        <w:t>ment of</w:t>
      </w:r>
      <w:r w:rsidRPr="005D7BC2">
        <w:rPr>
          <w:rFonts w:ascii="Arial" w:hAnsi="Arial" w:cs="Arial"/>
        </w:rPr>
        <w:t xml:space="preserve"> the Multicultural Queensland Charter and Multicultural Queensland Advisory Council. </w:t>
      </w:r>
    </w:p>
    <w:p w14:paraId="2476B501" w14:textId="3613E689" w:rsidR="00567CD3" w:rsidRPr="006923E3" w:rsidRDefault="00F27C83" w:rsidP="003115CC">
      <w:pPr>
        <w:pStyle w:val="ListParagraph"/>
        <w:numPr>
          <w:ilvl w:val="0"/>
          <w:numId w:val="7"/>
        </w:numPr>
        <w:suppressAutoHyphens/>
        <w:spacing w:after="100" w:line="240" w:lineRule="auto"/>
        <w:ind w:left="357" w:hanging="357"/>
        <w:contextualSpacing w:val="0"/>
        <w:rPr>
          <w:rFonts w:ascii="Arial" w:hAnsi="Arial" w:cs="Arial"/>
        </w:rPr>
      </w:pPr>
      <w:r w:rsidRPr="00B25435">
        <w:rPr>
          <w:rFonts w:ascii="Arial" w:hAnsi="Arial" w:cs="Arial"/>
        </w:rPr>
        <w:t xml:space="preserve">Section 24 of the Act requires entities with actions in the </w:t>
      </w:r>
      <w:r w:rsidR="009B2D69" w:rsidRPr="00B25435">
        <w:rPr>
          <w:rFonts w:ascii="Arial" w:hAnsi="Arial" w:cs="Arial"/>
        </w:rPr>
        <w:t xml:space="preserve">Action Plan </w:t>
      </w:r>
      <w:r w:rsidRPr="00B25435">
        <w:rPr>
          <w:rFonts w:ascii="Arial" w:hAnsi="Arial" w:cs="Arial"/>
        </w:rPr>
        <w:t>to report publicly on an annual basis. The report</w:t>
      </w:r>
      <w:r w:rsidR="009B2D69">
        <w:rPr>
          <w:rFonts w:ascii="Arial" w:hAnsi="Arial" w:cs="Arial"/>
        </w:rPr>
        <w:t xml:space="preserve"> below</w:t>
      </w:r>
      <w:r w:rsidRPr="00B25435">
        <w:rPr>
          <w:rFonts w:ascii="Arial" w:hAnsi="Arial" w:cs="Arial"/>
        </w:rPr>
        <w:t xml:space="preserve"> fulfils this requirement for</w:t>
      </w:r>
      <w:r w:rsidR="00F711A0" w:rsidRPr="00B25435">
        <w:rPr>
          <w:rFonts w:ascii="Arial" w:hAnsi="Arial" w:cs="Arial"/>
        </w:rPr>
        <w:t xml:space="preserve"> </w:t>
      </w:r>
      <w:r w:rsidR="00BC684C" w:rsidRPr="00B25435">
        <w:rPr>
          <w:rFonts w:ascii="Arial" w:hAnsi="Arial" w:cs="Arial"/>
        </w:rPr>
        <w:t xml:space="preserve">2019-20 </w:t>
      </w:r>
      <w:r w:rsidR="00F711A0" w:rsidRPr="00B25435">
        <w:rPr>
          <w:rFonts w:ascii="Arial" w:hAnsi="Arial" w:cs="Arial"/>
        </w:rPr>
        <w:t>for</w:t>
      </w:r>
      <w:r w:rsidR="00C92DEE">
        <w:rPr>
          <w:rFonts w:ascii="Arial" w:hAnsi="Arial" w:cs="Arial"/>
        </w:rPr>
        <w:t xml:space="preserve"> the</w:t>
      </w:r>
      <w:r w:rsidRPr="00B25435">
        <w:rPr>
          <w:rFonts w:ascii="Arial" w:hAnsi="Arial" w:cs="Arial"/>
        </w:rPr>
        <w:t xml:space="preserve"> </w:t>
      </w:r>
      <w:r w:rsidR="00B33B4A">
        <w:rPr>
          <w:rFonts w:ascii="Arial" w:hAnsi="Arial" w:cs="Arial"/>
          <w:b/>
        </w:rPr>
        <w:t>Queensland Mental Health Commission</w:t>
      </w:r>
      <w:r w:rsidR="00567CD3" w:rsidRPr="00B25435">
        <w:rPr>
          <w:rFonts w:ascii="Arial" w:hAnsi="Arial" w:cs="Arial"/>
          <w:b/>
        </w:rPr>
        <w:t>.</w:t>
      </w:r>
    </w:p>
    <w:p w14:paraId="39616E34" w14:textId="2E4583D0" w:rsidR="003115CC" w:rsidRDefault="003115CC" w:rsidP="003115CC">
      <w:pPr>
        <w:spacing w:after="0" w:line="240" w:lineRule="auto"/>
        <w:rPr>
          <w:rFonts w:ascii="Arial" w:hAnsi="Arial" w:cs="Arial"/>
          <w:b/>
          <w:sz w:val="36"/>
          <w:szCs w:val="36"/>
        </w:rPr>
      </w:pPr>
      <w:r w:rsidRPr="0071498E">
        <w:rPr>
          <w:rFonts w:ascii="Arial" w:hAnsi="Arial" w:cs="Arial"/>
          <w:b/>
          <w:noProof/>
          <w:color w:val="2F5496" w:themeColor="accent5" w:themeShade="BF"/>
          <w:lang w:eastAsia="en-AU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76A69698" wp14:editId="3960C79F">
                <wp:simplePos x="0" y="0"/>
                <wp:positionH relativeFrom="page">
                  <wp:align>center</wp:align>
                </wp:positionH>
                <wp:positionV relativeFrom="paragraph">
                  <wp:posOffset>149437</wp:posOffset>
                </wp:positionV>
                <wp:extent cx="13602970" cy="2065867"/>
                <wp:effectExtent l="0" t="0" r="17780" b="10795"/>
                <wp:wrapNone/>
                <wp:docPr id="6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02970" cy="2065867"/>
                        </a:xfrm>
                        <a:prstGeom prst="roundRect">
                          <a:avLst>
                            <a:gd name="adj" fmla="val 7331"/>
                          </a:avLst>
                        </a:prstGeom>
                        <a:solidFill>
                          <a:schemeClr val="bg1">
                            <a:alpha val="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0A99F9" id="Rounded Rectangle 1" o:spid="_x0000_s1026" style="position:absolute;margin-left:0;margin-top:11.75pt;width:1071.1pt;height:162.65pt;z-index:-25165107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arcsize="480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" fillcolor="white [3212]" strokecolor="#1f4d78 [1604]" strokeweight="1pt">
                <v:fill opacity="0"/>
                <v:stroke joinstyle="miter"/>
                <w10:wrap anchorx="page"/>
              </v:roundrect>
            </w:pict>
          </mc:Fallback>
        </mc:AlternateContent>
      </w:r>
    </w:p>
    <w:p w14:paraId="58119F9E" w14:textId="1906A06F" w:rsidR="00B56B9C" w:rsidRPr="003115CC" w:rsidRDefault="00B56B9C" w:rsidP="003115CC">
      <w:pPr>
        <w:spacing w:after="0" w:line="240" w:lineRule="auto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Notes  </w:t>
      </w:r>
    </w:p>
    <w:p w14:paraId="4162F6DE" w14:textId="77777777" w:rsidR="00F36CD5" w:rsidRPr="00F36CD5" w:rsidRDefault="00F36CD5" w:rsidP="00F36CD5">
      <w:pPr>
        <w:pStyle w:val="ListParagraph"/>
        <w:suppressAutoHyphens/>
        <w:spacing w:after="100" w:line="240" w:lineRule="auto"/>
        <w:ind w:left="360"/>
        <w:contextualSpacing w:val="0"/>
        <w:rPr>
          <w:rFonts w:ascii="Arial" w:hAnsi="Arial" w:cs="Arial"/>
        </w:rPr>
      </w:pPr>
    </w:p>
    <w:p w14:paraId="5170B93F" w14:textId="77777777" w:rsidR="001F1E36" w:rsidRPr="00ED36EE" w:rsidRDefault="001F1E36" w:rsidP="001F1E36">
      <w:pPr>
        <w:pStyle w:val="ListParagraph"/>
        <w:numPr>
          <w:ilvl w:val="0"/>
          <w:numId w:val="7"/>
        </w:numPr>
        <w:suppressAutoHyphens/>
        <w:spacing w:after="100" w:line="240" w:lineRule="auto"/>
        <w:contextualSpacing w:val="0"/>
        <w:rPr>
          <w:rFonts w:ascii="Arial" w:hAnsi="Arial" w:cs="Arial"/>
        </w:rPr>
      </w:pPr>
      <w:r w:rsidRPr="00345B40">
        <w:rPr>
          <w:rFonts w:ascii="Arial" w:hAnsi="Arial" w:cs="Arial"/>
          <w:bCs/>
          <w:noProof/>
        </w:rPr>
        <w:drawing>
          <wp:anchor distT="0" distB="0" distL="114300" distR="114300" simplePos="0" relativeHeight="251691008" behindDoc="0" locked="0" layoutInCell="1" allowOverlap="1" wp14:anchorId="6C7F88F1" wp14:editId="73B56455">
            <wp:simplePos x="0" y="0"/>
            <wp:positionH relativeFrom="column">
              <wp:posOffset>1748155</wp:posOffset>
            </wp:positionH>
            <wp:positionV relativeFrom="paragraph">
              <wp:posOffset>211406</wp:posOffset>
            </wp:positionV>
            <wp:extent cx="224790" cy="211455"/>
            <wp:effectExtent l="0" t="0" r="3810" b="0"/>
            <wp:wrapNone/>
            <wp:docPr id="5" name="Picture 5" descr="C:\Users\tohl\AppData\Local\Microsoft\Windows\INetCache\Content.MSO\BC4033F5.tmp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8" name="Picture 438" descr="C:\Users\tohl\AppData\Local\Microsoft\Windows\INetCache\Content.MSO\BC4033F5.tmp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984" t="15788" r="14423" b="23455"/>
                    <a:stretch/>
                  </pic:blipFill>
                  <pic:spPr bwMode="auto">
                    <a:xfrm>
                      <a:off x="0" y="0"/>
                      <a:ext cx="224790" cy="21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5B40">
        <w:rPr>
          <w:rFonts w:ascii="Arial" w:hAnsi="Arial" w:cs="Arial"/>
          <w:bCs/>
        </w:rPr>
        <w:t>The list</w:t>
      </w:r>
      <w:r w:rsidRPr="00ED36EE">
        <w:rPr>
          <w:rFonts w:ascii="Arial" w:hAnsi="Arial" w:cs="Arial"/>
        </w:rPr>
        <w:t xml:space="preserve"> of Government entities covered under ‘Al</w:t>
      </w:r>
      <w:r w:rsidRPr="00ED36EE">
        <w:rPr>
          <w:rFonts w:ascii="Arial" w:hAnsi="Arial" w:cs="Arial"/>
          <w:bCs/>
        </w:rPr>
        <w:t>l agencies’</w:t>
      </w:r>
      <w:r w:rsidRPr="00ED36EE">
        <w:rPr>
          <w:rFonts w:ascii="Arial" w:hAnsi="Arial" w:cs="Arial"/>
          <w:noProof/>
          <w:sz w:val="18"/>
          <w:szCs w:val="17"/>
        </w:rPr>
        <w:drawing>
          <wp:anchor distT="0" distB="0" distL="114300" distR="114300" simplePos="0" relativeHeight="251692032" behindDoc="0" locked="0" layoutInCell="1" allowOverlap="1" wp14:anchorId="10D7088B" wp14:editId="246F731F">
            <wp:simplePos x="0" y="0"/>
            <wp:positionH relativeFrom="column">
              <wp:posOffset>1748155</wp:posOffset>
            </wp:positionH>
            <wp:positionV relativeFrom="paragraph">
              <wp:posOffset>211406</wp:posOffset>
            </wp:positionV>
            <wp:extent cx="224790" cy="211455"/>
            <wp:effectExtent l="0" t="0" r="3810" b="0"/>
            <wp:wrapNone/>
            <wp:docPr id="2" name="Picture 2" descr="C:\Users\tohl\AppData\Local\Microsoft\Windows\INetCache\Content.MSO\BC4033F5.tmp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8" name="Picture 438" descr="C:\Users\tohl\AppData\Local\Microsoft\Windows\INetCache\Content.MSO\BC4033F5.tmp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984" t="15788" r="14423" b="23455"/>
                    <a:stretch/>
                  </pic:blipFill>
                  <pic:spPr bwMode="auto">
                    <a:xfrm>
                      <a:off x="0" y="0"/>
                      <a:ext cx="224790" cy="21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D36EE">
        <w:rPr>
          <w:rFonts w:ascii="Arial" w:hAnsi="Arial" w:cs="Arial"/>
          <w:bCs/>
        </w:rPr>
        <w:t xml:space="preserve"> is provided on page 11 of the </w:t>
      </w:r>
      <w:bookmarkStart w:id="0" w:name="_Hlk43974968"/>
      <w:r w:rsidRPr="00ED36EE">
        <w:fldChar w:fldCharType="begin"/>
      </w:r>
      <w:r w:rsidRPr="00ED36EE">
        <w:instrText xml:space="preserve"> HYPERLINK "https://www.dlgrma.qld.gov.au/resources/multicultural/policy-governance/qmap-19-22.pdf" </w:instrText>
      </w:r>
      <w:r w:rsidRPr="00ED36EE">
        <w:fldChar w:fldCharType="separate"/>
      </w:r>
      <w:r w:rsidRPr="00ED36EE">
        <w:rPr>
          <w:rStyle w:val="Hyperlink"/>
          <w:rFonts w:ascii="Arial" w:hAnsi="Arial" w:cs="Arial"/>
        </w:rPr>
        <w:t>Queensland Multicultural Action Plan 2019-20 to 2021-22</w:t>
      </w:r>
      <w:r w:rsidRPr="00ED36EE">
        <w:rPr>
          <w:rStyle w:val="Hyperlink"/>
          <w:rFonts w:ascii="Arial" w:hAnsi="Arial" w:cs="Arial"/>
        </w:rPr>
        <w:fldChar w:fldCharType="end"/>
      </w:r>
      <w:bookmarkEnd w:id="0"/>
      <w:r w:rsidRPr="00ED36EE">
        <w:rPr>
          <w:rFonts w:ascii="Arial" w:hAnsi="Arial" w:cs="Arial"/>
          <w:bCs/>
        </w:rPr>
        <w:t>.</w:t>
      </w:r>
    </w:p>
    <w:p w14:paraId="6211BD5B" w14:textId="3EFB0524" w:rsidR="00F36CD5" w:rsidRPr="00F36CD5" w:rsidRDefault="00B56B9C" w:rsidP="003115CC">
      <w:pPr>
        <w:pStyle w:val="ListParagraph"/>
        <w:numPr>
          <w:ilvl w:val="0"/>
          <w:numId w:val="7"/>
        </w:numPr>
        <w:suppressAutoHyphens/>
        <w:spacing w:after="100" w:line="240" w:lineRule="auto"/>
        <w:contextualSpacing w:val="0"/>
        <w:rPr>
          <w:rFonts w:cs="Arial"/>
          <w:sz w:val="21"/>
          <w:szCs w:val="21"/>
        </w:rPr>
      </w:pPr>
      <w:r>
        <w:rPr>
          <w:rFonts w:ascii="Arial" w:hAnsi="Arial" w:cs="Arial"/>
          <w:bCs/>
        </w:rPr>
        <w:t xml:space="preserve">Actions marked with the       symbol are broad actions with related agency sub-actions that can be viewed online at </w:t>
      </w:r>
      <w:hyperlink r:id="rId12" w:history="1">
        <w:r w:rsidRPr="00DB038E">
          <w:rPr>
            <w:rStyle w:val="Hyperlink"/>
            <w:rFonts w:ascii="Arial" w:hAnsi="Arial" w:cs="Arial"/>
          </w:rPr>
          <w:t>www.dlgrma.qld.gov.au</w:t>
        </w:r>
      </w:hyperlink>
      <w:r w:rsidRPr="00DD7043">
        <w:rPr>
          <w:rFonts w:ascii="Arial" w:hAnsi="Arial" w:cs="Arial"/>
        </w:rPr>
        <w:t>, (</w:t>
      </w:r>
      <w:proofErr w:type="spellStart"/>
      <w:r w:rsidRPr="00DD7043">
        <w:rPr>
          <w:rFonts w:ascii="Arial" w:hAnsi="Arial" w:cs="Arial"/>
        </w:rPr>
        <w:t>i</w:t>
      </w:r>
      <w:proofErr w:type="spellEnd"/>
      <w:r w:rsidRPr="00DD7043">
        <w:rPr>
          <w:rFonts w:ascii="Arial" w:hAnsi="Arial" w:cs="Arial"/>
        </w:rPr>
        <w:t>) click on ‘Multicultural Affairs’, (ii) click on ‘Queensland Government Multicultural Policy and Action Plan’.</w:t>
      </w:r>
      <w:r>
        <w:rPr>
          <w:rFonts w:ascii="Arial" w:hAnsi="Arial" w:cs="Arial"/>
        </w:rPr>
        <w:t xml:space="preserve"> </w:t>
      </w:r>
      <w:r w:rsidR="00442D78">
        <w:rPr>
          <w:rFonts w:ascii="Arial" w:hAnsi="Arial" w:cs="Arial"/>
        </w:rPr>
        <w:t>All</w:t>
      </w:r>
      <w:r w:rsidRPr="003115CC">
        <w:rPr>
          <w:rFonts w:ascii="Arial" w:hAnsi="Arial" w:cs="Arial"/>
        </w:rPr>
        <w:t xml:space="preserve"> sub-action</w:t>
      </w:r>
      <w:r>
        <w:rPr>
          <w:rFonts w:ascii="Arial" w:hAnsi="Arial" w:cs="Arial"/>
        </w:rPr>
        <w:t>s</w:t>
      </w:r>
      <w:r w:rsidR="00442D78">
        <w:rPr>
          <w:rFonts w:ascii="Arial" w:hAnsi="Arial" w:cs="Arial"/>
        </w:rPr>
        <w:t xml:space="preserve">, where relevant, for </w:t>
      </w:r>
      <w:r w:rsidR="00442D78" w:rsidRPr="00B33B4A">
        <w:rPr>
          <w:rFonts w:ascii="Arial" w:hAnsi="Arial" w:cs="Arial"/>
        </w:rPr>
        <w:t>the</w:t>
      </w:r>
      <w:r w:rsidR="003115CC" w:rsidRPr="00B33B4A">
        <w:rPr>
          <w:rFonts w:ascii="Arial" w:hAnsi="Arial" w:cs="Arial"/>
        </w:rPr>
        <w:t xml:space="preserve"> </w:t>
      </w:r>
      <w:r w:rsidR="00B33B4A" w:rsidRPr="00B33B4A">
        <w:rPr>
          <w:rFonts w:ascii="Arial" w:hAnsi="Arial" w:cs="Arial"/>
          <w:b/>
          <w:bCs/>
        </w:rPr>
        <w:t>Queensland Mental Health Commission</w:t>
      </w:r>
      <w:r w:rsidR="003115CC" w:rsidRPr="00B33B4A">
        <w:rPr>
          <w:rFonts w:ascii="Arial" w:hAnsi="Arial" w:cs="Arial"/>
          <w:b/>
          <w:bCs/>
        </w:rPr>
        <w:t xml:space="preserve"> (</w:t>
      </w:r>
      <w:r w:rsidR="00B33B4A" w:rsidRPr="00B33B4A">
        <w:rPr>
          <w:rFonts w:ascii="Arial" w:hAnsi="Arial" w:cs="Arial"/>
          <w:b/>
          <w:bCs/>
        </w:rPr>
        <w:t>QMHC</w:t>
      </w:r>
      <w:r w:rsidR="003115CC" w:rsidRPr="00B33B4A">
        <w:rPr>
          <w:rFonts w:ascii="Arial" w:hAnsi="Arial" w:cs="Arial"/>
          <w:b/>
          <w:bCs/>
        </w:rPr>
        <w:t>)</w:t>
      </w:r>
      <w:r w:rsidR="002C6226" w:rsidRPr="00B33B4A">
        <w:rPr>
          <w:rFonts w:ascii="Arial" w:hAnsi="Arial" w:cs="Arial"/>
          <w:b/>
          <w:bCs/>
        </w:rPr>
        <w:t xml:space="preserve"> </w:t>
      </w:r>
      <w:r w:rsidR="002C6226" w:rsidRPr="00B33B4A">
        <w:rPr>
          <w:rFonts w:ascii="Arial" w:hAnsi="Arial" w:cs="Arial"/>
        </w:rPr>
        <w:t>have</w:t>
      </w:r>
      <w:r w:rsidR="002C6226">
        <w:rPr>
          <w:rFonts w:ascii="Arial" w:hAnsi="Arial" w:cs="Arial"/>
        </w:rPr>
        <w:t xml:space="preserve"> been listed in this template for ease of reporting</w:t>
      </w:r>
      <w:r w:rsidR="003115CC" w:rsidRPr="003115CC">
        <w:rPr>
          <w:rFonts w:ascii="Arial" w:hAnsi="Arial" w:cs="Arial"/>
          <w:b/>
          <w:bCs/>
        </w:rPr>
        <w:t>.</w:t>
      </w:r>
    </w:p>
    <w:p w14:paraId="35CDE60D" w14:textId="08AA1CAC" w:rsidR="00F36CD5" w:rsidRPr="005833B3" w:rsidRDefault="00F36CD5" w:rsidP="00F36CD5">
      <w:pPr>
        <w:pStyle w:val="ListParagraph"/>
        <w:numPr>
          <w:ilvl w:val="0"/>
          <w:numId w:val="7"/>
        </w:numPr>
        <w:suppressAutoHyphens/>
        <w:spacing w:after="100" w:line="24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The Policy and Action Plan </w:t>
      </w:r>
      <w:r w:rsidRPr="005833B3">
        <w:rPr>
          <w:rFonts w:ascii="Arial" w:hAnsi="Arial" w:cs="Arial"/>
        </w:rPr>
        <w:t>support priorities set out in the Government’s objectives for the community, Our Future State: Advancing Queensland’s Priorities</w:t>
      </w:r>
      <w:r>
        <w:rPr>
          <w:rFonts w:ascii="Arial" w:hAnsi="Arial" w:cs="Arial"/>
        </w:rPr>
        <w:t>. T</w:t>
      </w:r>
      <w:r w:rsidRPr="005833B3">
        <w:rPr>
          <w:rFonts w:ascii="Arial" w:hAnsi="Arial" w:cs="Arial"/>
        </w:rPr>
        <w:t>hese priorities are:</w:t>
      </w:r>
    </w:p>
    <w:p w14:paraId="16042558" w14:textId="22FD5B9F" w:rsidR="003115CC" w:rsidRPr="00F36CD5" w:rsidRDefault="00F36CD5" w:rsidP="00D629FC">
      <w:pPr>
        <w:spacing w:after="0" w:line="240" w:lineRule="auto"/>
        <w:jc w:val="center"/>
        <w:rPr>
          <w:rFonts w:cs="Arial"/>
          <w:sz w:val="21"/>
          <w:szCs w:val="21"/>
        </w:rPr>
      </w:pPr>
      <w:r w:rsidRPr="001A090A">
        <w:rPr>
          <w:rFonts w:ascii="Calibri" w:hAnsi="Calibri"/>
          <w:noProof/>
          <w:color w:val="000000"/>
          <w:sz w:val="18"/>
          <w:szCs w:val="20"/>
          <w:lang w:eastAsia="en-AU"/>
        </w:rPr>
        <w:drawing>
          <wp:inline distT="0" distB="0" distL="0" distR="0" wp14:anchorId="793186CC" wp14:editId="7C0D3B83">
            <wp:extent cx="272214" cy="304800"/>
            <wp:effectExtent l="0" t="0" r="0" b="0"/>
            <wp:docPr id="109" name="Picture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214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18"/>
          <w:szCs w:val="20"/>
        </w:rPr>
        <w:t xml:space="preserve">  </w:t>
      </w:r>
      <w:r w:rsidRPr="001A090A">
        <w:rPr>
          <w:rFonts w:ascii="Arial" w:hAnsi="Arial" w:cs="Arial"/>
          <w:sz w:val="18"/>
          <w:szCs w:val="20"/>
        </w:rPr>
        <w:t>Be a responsive government</w:t>
      </w:r>
      <w:r>
        <w:rPr>
          <w:rFonts w:ascii="Arial" w:hAnsi="Arial" w:cs="Arial"/>
          <w:sz w:val="18"/>
          <w:szCs w:val="20"/>
        </w:rPr>
        <w:t xml:space="preserve">   </w:t>
      </w:r>
      <w:r w:rsidRPr="001A090A">
        <w:rPr>
          <w:rFonts w:ascii="Calibri" w:hAnsi="Calibri"/>
          <w:noProof/>
          <w:color w:val="000000"/>
          <w:sz w:val="18"/>
          <w:szCs w:val="20"/>
          <w:lang w:eastAsia="en-AU"/>
        </w:rPr>
        <w:drawing>
          <wp:inline distT="0" distB="0" distL="0" distR="0" wp14:anchorId="22B11717" wp14:editId="7ECF82A0">
            <wp:extent cx="245533" cy="275050"/>
            <wp:effectExtent l="0" t="0" r="2540" b="0"/>
            <wp:docPr id="111" name="Picture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16" cy="285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090A">
        <w:rPr>
          <w:rFonts w:ascii="Arial" w:hAnsi="Arial" w:cs="Arial"/>
          <w:sz w:val="18"/>
          <w:szCs w:val="20"/>
        </w:rPr>
        <w:t xml:space="preserve">  Keep Queenslanders healthy</w:t>
      </w:r>
      <w:r>
        <w:rPr>
          <w:rFonts w:ascii="Arial" w:hAnsi="Arial" w:cs="Arial"/>
          <w:sz w:val="18"/>
          <w:szCs w:val="20"/>
        </w:rPr>
        <w:t xml:space="preserve">   </w:t>
      </w:r>
      <w:r w:rsidRPr="001A090A">
        <w:rPr>
          <w:rFonts w:ascii="Calibri" w:hAnsi="Calibri"/>
          <w:noProof/>
          <w:color w:val="000000"/>
          <w:sz w:val="18"/>
          <w:szCs w:val="20"/>
          <w:lang w:eastAsia="en-AU"/>
        </w:rPr>
        <w:drawing>
          <wp:inline distT="0" distB="0" distL="0" distR="0" wp14:anchorId="79D339F2" wp14:editId="3762E2A4">
            <wp:extent cx="254777" cy="292100"/>
            <wp:effectExtent l="0" t="0" r="0" b="0"/>
            <wp:docPr id="148" name="Picture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574" cy="298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090A">
        <w:rPr>
          <w:rFonts w:ascii="Arial" w:hAnsi="Arial" w:cs="Arial"/>
          <w:sz w:val="18"/>
          <w:szCs w:val="20"/>
        </w:rPr>
        <w:t xml:space="preserve">  Create jobs in a strong economy</w:t>
      </w:r>
      <w:r>
        <w:rPr>
          <w:rFonts w:ascii="Arial" w:hAnsi="Arial" w:cs="Arial"/>
          <w:sz w:val="18"/>
          <w:szCs w:val="20"/>
        </w:rPr>
        <w:t xml:space="preserve"> </w:t>
      </w:r>
      <w:r w:rsidR="004338EF">
        <w:rPr>
          <w:rFonts w:ascii="Arial" w:hAnsi="Arial" w:cs="Arial"/>
          <w:sz w:val="18"/>
          <w:szCs w:val="20"/>
        </w:rPr>
        <w:t xml:space="preserve">  </w:t>
      </w:r>
      <w:r w:rsidR="00D629FC" w:rsidRPr="001A090A">
        <w:rPr>
          <w:rFonts w:ascii="Calibri" w:hAnsi="Calibri"/>
          <w:noProof/>
          <w:color w:val="000000"/>
          <w:sz w:val="18"/>
          <w:szCs w:val="20"/>
          <w:lang w:eastAsia="en-AU"/>
        </w:rPr>
        <w:drawing>
          <wp:inline distT="0" distB="0" distL="0" distR="0" wp14:anchorId="646CFFD3" wp14:editId="449F36EA">
            <wp:extent cx="258233" cy="296064"/>
            <wp:effectExtent l="0" t="0" r="8890" b="8890"/>
            <wp:docPr id="149" name="Picture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277" cy="298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29FC" w:rsidRPr="001A090A">
        <w:rPr>
          <w:rFonts w:ascii="Arial" w:hAnsi="Arial" w:cs="Arial"/>
          <w:sz w:val="18"/>
          <w:szCs w:val="20"/>
        </w:rPr>
        <w:t xml:space="preserve">  Give all our children a great start</w:t>
      </w:r>
    </w:p>
    <w:p w14:paraId="44D555C9" w14:textId="77777777" w:rsidR="003115CC" w:rsidRDefault="003115CC" w:rsidP="008F63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FF0066"/>
          <w:sz w:val="36"/>
          <w:szCs w:val="36"/>
        </w:rPr>
      </w:pPr>
    </w:p>
    <w:p w14:paraId="2198D0EE" w14:textId="77777777" w:rsidR="003115CC" w:rsidRDefault="003115CC">
      <w:pPr>
        <w:rPr>
          <w:rFonts w:ascii="Arial" w:hAnsi="Arial" w:cs="Arial"/>
          <w:b/>
          <w:color w:val="FF0066"/>
          <w:sz w:val="36"/>
          <w:szCs w:val="36"/>
        </w:rPr>
      </w:pPr>
      <w:r>
        <w:rPr>
          <w:rFonts w:ascii="Arial" w:hAnsi="Arial" w:cs="Arial"/>
          <w:b/>
          <w:color w:val="FF0066"/>
          <w:sz w:val="36"/>
          <w:szCs w:val="36"/>
        </w:rPr>
        <w:br w:type="page"/>
      </w:r>
    </w:p>
    <w:p w14:paraId="0DF06CC8" w14:textId="77777777" w:rsidR="003115CC" w:rsidRDefault="003115CC" w:rsidP="008F63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FF0066"/>
          <w:sz w:val="36"/>
          <w:szCs w:val="36"/>
        </w:rPr>
      </w:pPr>
    </w:p>
    <w:p w14:paraId="7955544E" w14:textId="7E93FA26" w:rsidR="008F63B5" w:rsidRPr="0005388A" w:rsidRDefault="008F63B5" w:rsidP="008F63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C0504D"/>
          <w:sz w:val="36"/>
          <w:szCs w:val="36"/>
        </w:rPr>
      </w:pPr>
      <w:r w:rsidRPr="0005388A">
        <w:rPr>
          <w:rFonts w:ascii="Arial" w:hAnsi="Arial" w:cs="Arial"/>
          <w:b/>
          <w:color w:val="C0504D"/>
          <w:sz w:val="36"/>
          <w:szCs w:val="36"/>
        </w:rPr>
        <w:t>Priority area 1: Culturally responsive government</w:t>
      </w:r>
    </w:p>
    <w:p w14:paraId="4DD3D015" w14:textId="77777777" w:rsidR="00D629FC" w:rsidRDefault="00D629FC" w:rsidP="00115F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C0504D"/>
        </w:rPr>
      </w:pPr>
    </w:p>
    <w:p w14:paraId="4FBF9301" w14:textId="6CB09868" w:rsidR="00115FAA" w:rsidRPr="0005388A" w:rsidRDefault="00FD0BD2" w:rsidP="00115F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C0504D"/>
        </w:rPr>
      </w:pPr>
      <w:r w:rsidRPr="0005388A">
        <w:rPr>
          <w:rFonts w:ascii="Arial" w:hAnsi="Arial" w:cs="Arial"/>
          <w:b/>
          <w:color w:val="C0504D"/>
        </w:rPr>
        <w:t>Outcome</w:t>
      </w:r>
      <w:r w:rsidR="00115FAA" w:rsidRPr="0005388A">
        <w:rPr>
          <w:rFonts w:ascii="Arial" w:hAnsi="Arial" w:cs="Arial"/>
          <w:b/>
          <w:color w:val="C0504D"/>
        </w:rPr>
        <w:t xml:space="preserve">s: </w:t>
      </w:r>
    </w:p>
    <w:p w14:paraId="654A90DB" w14:textId="77777777" w:rsidR="00C85864" w:rsidRPr="0005388A" w:rsidRDefault="00C85864" w:rsidP="00C85864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color w:val="C0504D"/>
        </w:rPr>
      </w:pPr>
      <w:r>
        <w:rPr>
          <w:rFonts w:ascii="Arial" w:hAnsi="Arial" w:cs="Arial"/>
          <w:b/>
          <w:color w:val="C0504D"/>
        </w:rPr>
        <w:t xml:space="preserve">Improve knowledge about customers’ diversity </w:t>
      </w:r>
    </w:p>
    <w:p w14:paraId="32FE62A8" w14:textId="0F3CCBF2" w:rsidR="00C02324" w:rsidRPr="0005388A" w:rsidRDefault="00115FAA" w:rsidP="0005388A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color w:val="C0504D"/>
        </w:rPr>
      </w:pPr>
      <w:r w:rsidRPr="0005388A">
        <w:rPr>
          <w:rFonts w:ascii="Arial" w:hAnsi="Arial" w:cs="Arial"/>
          <w:b/>
          <w:color w:val="C0504D"/>
        </w:rPr>
        <w:t xml:space="preserve">Culturally capable services and programs </w:t>
      </w:r>
    </w:p>
    <w:p w14:paraId="2A68B5A4" w14:textId="45BEA1F7" w:rsidR="00115FAA" w:rsidRPr="0005388A" w:rsidRDefault="00115FAA" w:rsidP="0005388A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color w:val="C0504D"/>
        </w:rPr>
      </w:pPr>
      <w:r w:rsidRPr="0005388A">
        <w:rPr>
          <w:rFonts w:ascii="Arial" w:hAnsi="Arial" w:cs="Arial"/>
          <w:b/>
          <w:color w:val="C0504D"/>
        </w:rPr>
        <w:t>A productive, culturally capable and diverse workforce</w:t>
      </w:r>
    </w:p>
    <w:p w14:paraId="3D58497D" w14:textId="77777777" w:rsidR="00115FAA" w:rsidRPr="0005388A" w:rsidRDefault="00115FAA" w:rsidP="000538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C0504D"/>
        </w:rPr>
      </w:pPr>
    </w:p>
    <w:tbl>
      <w:tblPr>
        <w:tblStyle w:val="TableGrid"/>
        <w:tblW w:w="5000" w:type="pct"/>
        <w:jc w:val="center"/>
        <w:tblBorders>
          <w:top w:val="single" w:sz="4" w:space="0" w:color="C0504D"/>
          <w:left w:val="single" w:sz="4" w:space="0" w:color="C0504D"/>
          <w:bottom w:val="single" w:sz="4" w:space="0" w:color="C0504D"/>
          <w:right w:val="single" w:sz="4" w:space="0" w:color="C0504D"/>
          <w:insideH w:val="single" w:sz="4" w:space="0" w:color="C0504D"/>
          <w:insideV w:val="single" w:sz="4" w:space="0" w:color="C0504D"/>
        </w:tblBorders>
        <w:tblLook w:val="04A0" w:firstRow="1" w:lastRow="0" w:firstColumn="1" w:lastColumn="0" w:noHBand="0" w:noVBand="1"/>
      </w:tblPr>
      <w:tblGrid>
        <w:gridCol w:w="7866"/>
        <w:gridCol w:w="776"/>
        <w:gridCol w:w="2695"/>
        <w:gridCol w:w="1982"/>
        <w:gridCol w:w="2269"/>
        <w:gridCol w:w="5500"/>
      </w:tblGrid>
      <w:tr w:rsidR="00C02324" w:rsidRPr="0054491B" w14:paraId="3FE100B6" w14:textId="77777777" w:rsidTr="0005388A">
        <w:trPr>
          <w:tblHeader/>
          <w:jc w:val="center"/>
        </w:trPr>
        <w:tc>
          <w:tcPr>
            <w:tcW w:w="1865" w:type="pct"/>
            <w:shd w:val="clear" w:color="auto" w:fill="D9D9D9" w:themeFill="background1" w:themeFillShade="D9"/>
          </w:tcPr>
          <w:p w14:paraId="641B8FC9" w14:textId="753F2A9C" w:rsidR="00C02324" w:rsidRPr="0054491B" w:rsidRDefault="00C02324" w:rsidP="005A2832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b/>
              </w:rPr>
            </w:pPr>
            <w:r w:rsidRPr="0054491B">
              <w:rPr>
                <w:rFonts w:ascii="Arial" w:hAnsi="Arial" w:cs="Arial"/>
                <w:b/>
              </w:rPr>
              <w:t>Action</w:t>
            </w:r>
          </w:p>
        </w:tc>
        <w:tc>
          <w:tcPr>
            <w:tcW w:w="184" w:type="pct"/>
            <w:shd w:val="clear" w:color="auto" w:fill="D9D9D9" w:themeFill="background1" w:themeFillShade="D9"/>
          </w:tcPr>
          <w:p w14:paraId="1067FA2C" w14:textId="77777777" w:rsidR="00C02324" w:rsidRPr="00014BF4" w:rsidRDefault="00C02324" w:rsidP="005A2832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b/>
              </w:rPr>
            </w:pPr>
            <w:r w:rsidRPr="00F25803">
              <w:rPr>
                <w:rFonts w:ascii="Arial" w:hAnsi="Arial" w:cs="Arial"/>
                <w:b/>
              </w:rPr>
              <w:t xml:space="preserve">AQP </w:t>
            </w:r>
          </w:p>
        </w:tc>
        <w:tc>
          <w:tcPr>
            <w:tcW w:w="639" w:type="pct"/>
            <w:shd w:val="clear" w:color="auto" w:fill="D9D9D9" w:themeFill="background1" w:themeFillShade="D9"/>
          </w:tcPr>
          <w:p w14:paraId="7FF52FE4" w14:textId="7C85A0E1" w:rsidR="00C02324" w:rsidRPr="0054491B" w:rsidRDefault="00C85864" w:rsidP="005A2832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Responsible agency </w:t>
            </w:r>
          </w:p>
        </w:tc>
        <w:tc>
          <w:tcPr>
            <w:tcW w:w="470" w:type="pct"/>
            <w:shd w:val="clear" w:color="auto" w:fill="D9D9D9" w:themeFill="background1" w:themeFillShade="D9"/>
          </w:tcPr>
          <w:p w14:paraId="7C3B29B9" w14:textId="77777777" w:rsidR="00C02324" w:rsidRPr="0054491B" w:rsidRDefault="00C02324" w:rsidP="005A2832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b/>
              </w:rPr>
            </w:pPr>
            <w:r w:rsidRPr="0054491B">
              <w:rPr>
                <w:rFonts w:ascii="Arial" w:hAnsi="Arial" w:cs="Arial"/>
                <w:b/>
              </w:rPr>
              <w:t>Timeframe</w:t>
            </w:r>
          </w:p>
        </w:tc>
        <w:tc>
          <w:tcPr>
            <w:tcW w:w="538" w:type="pct"/>
            <w:shd w:val="clear" w:color="auto" w:fill="D9D9D9" w:themeFill="background1" w:themeFillShade="D9"/>
          </w:tcPr>
          <w:p w14:paraId="04BC8DA1" w14:textId="77777777" w:rsidR="00C02324" w:rsidRDefault="00C02324" w:rsidP="005A2832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Progress status for 2019-20</w:t>
            </w:r>
          </w:p>
          <w:p w14:paraId="509210DC" w14:textId="77777777" w:rsidR="00C02324" w:rsidRPr="00A95483" w:rsidRDefault="00C02324" w:rsidP="005A2832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A95483">
              <w:rPr>
                <w:rFonts w:ascii="Arial" w:hAnsi="Arial" w:cs="Arial"/>
                <w:sz w:val="18"/>
                <w:szCs w:val="18"/>
              </w:rPr>
              <w:t xml:space="preserve">Legend: </w:t>
            </w:r>
          </w:p>
          <w:p w14:paraId="0E9DAAAE" w14:textId="77777777" w:rsidR="00C02324" w:rsidRPr="00A95483" w:rsidRDefault="00C02324" w:rsidP="005A2832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A95483">
              <w:rPr>
                <w:rFonts w:ascii="Arial" w:hAnsi="Arial" w:cs="Arial"/>
                <w:sz w:val="18"/>
                <w:szCs w:val="18"/>
              </w:rPr>
              <w:t>On track</w:t>
            </w:r>
          </w:p>
          <w:p w14:paraId="51A9981F" w14:textId="77777777" w:rsidR="00C02324" w:rsidRPr="00A95483" w:rsidRDefault="00C02324" w:rsidP="005A2832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A95483">
              <w:rPr>
                <w:rFonts w:ascii="Arial" w:hAnsi="Arial" w:cs="Arial"/>
                <w:sz w:val="18"/>
                <w:szCs w:val="18"/>
              </w:rPr>
              <w:t>Completed</w:t>
            </w:r>
          </w:p>
          <w:p w14:paraId="723DBEF7" w14:textId="77777777" w:rsidR="00C02324" w:rsidRPr="00A95483" w:rsidRDefault="00C02324" w:rsidP="005A2832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A95483">
              <w:rPr>
                <w:rFonts w:ascii="Arial" w:hAnsi="Arial" w:cs="Arial"/>
                <w:sz w:val="18"/>
                <w:szCs w:val="18"/>
              </w:rPr>
              <w:t>Yet to commence</w:t>
            </w:r>
          </w:p>
          <w:p w14:paraId="45D4048A" w14:textId="77777777" w:rsidR="00C02324" w:rsidRPr="005D7BC2" w:rsidRDefault="00C02324" w:rsidP="005A2832">
            <w:pPr>
              <w:pStyle w:val="ListParagraph"/>
              <w:autoSpaceDE w:val="0"/>
              <w:autoSpaceDN w:val="0"/>
              <w:adjustRightInd w:val="0"/>
              <w:spacing w:after="120"/>
              <w:ind w:left="360"/>
              <w:rPr>
                <w:rFonts w:ascii="Arial" w:hAnsi="Arial" w:cs="Arial"/>
                <w:b/>
              </w:rPr>
            </w:pPr>
          </w:p>
        </w:tc>
        <w:tc>
          <w:tcPr>
            <w:tcW w:w="1304" w:type="pct"/>
            <w:shd w:val="clear" w:color="auto" w:fill="D9D9D9" w:themeFill="background1" w:themeFillShade="D9"/>
          </w:tcPr>
          <w:p w14:paraId="71BEF0E1" w14:textId="77777777" w:rsidR="00C02324" w:rsidRPr="00534C28" w:rsidRDefault="00C02324" w:rsidP="005A2832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b/>
              </w:rPr>
            </w:pPr>
            <w:r w:rsidRPr="00534C28">
              <w:rPr>
                <w:rFonts w:ascii="Arial" w:hAnsi="Arial" w:cs="Arial"/>
                <w:b/>
              </w:rPr>
              <w:t>Achievements and outcomes</w:t>
            </w:r>
            <w:r>
              <w:rPr>
                <w:rFonts w:ascii="Arial" w:hAnsi="Arial" w:cs="Arial"/>
                <w:b/>
              </w:rPr>
              <w:t xml:space="preserve"> for people from culturally and linguistically diverse communities </w:t>
            </w:r>
          </w:p>
          <w:p w14:paraId="452BE445" w14:textId="77777777" w:rsidR="00C02324" w:rsidRPr="0054491B" w:rsidRDefault="00C02324" w:rsidP="005A2832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b/>
              </w:rPr>
            </w:pPr>
            <w:r w:rsidRPr="00F45F69">
              <w:rPr>
                <w:rFonts w:ascii="Arial" w:hAnsi="Arial" w:cs="Arial"/>
                <w:sz w:val="18"/>
                <w:szCs w:val="18"/>
              </w:rPr>
              <w:t>Please provide commentary e.g. 3-4 dot points of advice on achievements and outcomes. Include qualitative and quantitative data if available/relevant.</w:t>
            </w:r>
          </w:p>
        </w:tc>
      </w:tr>
      <w:tr w:rsidR="00C02324" w:rsidRPr="00F25803" w14:paraId="561B0DCC" w14:textId="77777777" w:rsidTr="0005388A">
        <w:trPr>
          <w:trHeight w:val="500"/>
          <w:jc w:val="center"/>
        </w:trPr>
        <w:tc>
          <w:tcPr>
            <w:tcW w:w="1865" w:type="pct"/>
            <w:shd w:val="clear" w:color="auto" w:fill="auto"/>
            <w:vAlign w:val="center"/>
          </w:tcPr>
          <w:p w14:paraId="35E51132" w14:textId="1352A533" w:rsidR="00C02324" w:rsidRPr="00B33B4A" w:rsidRDefault="00B33B4A" w:rsidP="00293121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B33B4A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79744" behindDoc="0" locked="0" layoutInCell="1" allowOverlap="1" wp14:anchorId="5A80AF45" wp14:editId="7E604266">
                  <wp:simplePos x="0" y="0"/>
                  <wp:positionH relativeFrom="column">
                    <wp:posOffset>4639310</wp:posOffset>
                  </wp:positionH>
                  <wp:positionV relativeFrom="paragraph">
                    <wp:posOffset>46355</wp:posOffset>
                  </wp:positionV>
                  <wp:extent cx="224790" cy="211455"/>
                  <wp:effectExtent l="0" t="0" r="3810" b="0"/>
                  <wp:wrapNone/>
                  <wp:docPr id="7" name="Picture 7" descr="C:\Users\tohl\AppData\Local\Microsoft\Windows\INetCache\Content.MSO\BC4033F5.tmp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8" name="Picture 438" descr="C:\Users\tohl\AppData\Local\Microsoft\Windows\INetCache\Content.MSO\BC4033F5.tmp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984" t="15788" r="14423" b="23455"/>
                          <a:stretch/>
                        </pic:blipFill>
                        <pic:spPr bwMode="auto">
                          <a:xfrm>
                            <a:off x="0" y="0"/>
                            <a:ext cx="224790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33B4A">
              <w:rPr>
                <w:rFonts w:ascii="Arial" w:hAnsi="Arial" w:cs="Arial"/>
              </w:rPr>
              <w:t xml:space="preserve">Increase cultural understanding and capability of staff by providing access </w:t>
            </w:r>
            <w:r>
              <w:rPr>
                <w:rFonts w:ascii="Arial" w:hAnsi="Arial" w:cs="Arial"/>
              </w:rPr>
              <w:t xml:space="preserve">    </w:t>
            </w:r>
            <w:r w:rsidRPr="00B33B4A">
              <w:rPr>
                <w:rFonts w:ascii="Arial" w:hAnsi="Arial" w:cs="Arial"/>
              </w:rPr>
              <w:t>to events, training and development opportunities.</w:t>
            </w:r>
          </w:p>
        </w:tc>
        <w:tc>
          <w:tcPr>
            <w:tcW w:w="184" w:type="pct"/>
            <w:vAlign w:val="center"/>
          </w:tcPr>
          <w:p w14:paraId="13EE08C8" w14:textId="77777777" w:rsidR="00C02324" w:rsidRPr="00F25803" w:rsidRDefault="00C02324" w:rsidP="002931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F70E6">
              <w:rPr>
                <w:rFonts w:ascii="Arial" w:hAnsi="Arial" w:cs="Arial"/>
                <w:noProof/>
                <w:color w:val="000000"/>
                <w:sz w:val="17"/>
                <w:szCs w:val="17"/>
                <w:lang w:eastAsia="en-AU"/>
              </w:rPr>
              <w:drawing>
                <wp:inline distT="0" distB="0" distL="0" distR="0" wp14:anchorId="06D8775C" wp14:editId="3967B9C6">
                  <wp:extent cx="200025" cy="223970"/>
                  <wp:effectExtent l="0" t="0" r="0" b="508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30" cy="2346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2DD38B71" w14:textId="77777777" w:rsidR="00C02324" w:rsidRPr="00FD4ED2" w:rsidRDefault="00C02324" w:rsidP="0029312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14:paraId="27993D07" w14:textId="28652B4A" w:rsidR="00C02324" w:rsidRPr="00FD4ED2" w:rsidRDefault="00C02324" w:rsidP="0029312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All agencies</w:t>
            </w:r>
          </w:p>
          <w:p w14:paraId="3CC6FA41" w14:textId="77777777" w:rsidR="00C02324" w:rsidRPr="00FD4ED2" w:rsidRDefault="00C02324" w:rsidP="0029312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470" w:type="pct"/>
            <w:shd w:val="clear" w:color="auto" w:fill="auto"/>
            <w:vAlign w:val="center"/>
          </w:tcPr>
          <w:p w14:paraId="387B58BE" w14:textId="77777777" w:rsidR="00C02324" w:rsidRPr="00F25803" w:rsidRDefault="00C02324" w:rsidP="0029312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</w:rPr>
            </w:pPr>
            <w:r w:rsidRPr="00FD4ED2">
              <w:rPr>
                <w:rFonts w:ascii="Arial" w:hAnsi="Arial" w:cs="Arial"/>
                <w:bCs/>
              </w:rPr>
              <w:t>2019–22</w:t>
            </w:r>
          </w:p>
        </w:tc>
        <w:tc>
          <w:tcPr>
            <w:tcW w:w="1842" w:type="pct"/>
            <w:gridSpan w:val="2"/>
            <w:shd w:val="diagStripe" w:color="auto" w:fill="FFFFFF" w:themeFill="background1"/>
            <w:vAlign w:val="center"/>
          </w:tcPr>
          <w:p w14:paraId="2DCABF56" w14:textId="77777777" w:rsidR="00C02324" w:rsidRPr="00F25803" w:rsidRDefault="00C02324" w:rsidP="005A2832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b/>
                <w:i/>
                <w:iCs/>
              </w:rPr>
            </w:pPr>
          </w:p>
        </w:tc>
      </w:tr>
      <w:tr w:rsidR="00C02324" w:rsidRPr="00FD4ED2" w14:paraId="13E5E2C9" w14:textId="77777777" w:rsidTr="0005388A">
        <w:trPr>
          <w:jc w:val="center"/>
        </w:trPr>
        <w:tc>
          <w:tcPr>
            <w:tcW w:w="1865" w:type="pct"/>
            <w:shd w:val="clear" w:color="auto" w:fill="auto"/>
            <w:vAlign w:val="center"/>
          </w:tcPr>
          <w:p w14:paraId="66ED36DB" w14:textId="2AB59E4F" w:rsidR="00C02324" w:rsidRPr="00B33B4A" w:rsidDel="00A95813" w:rsidRDefault="00B33B4A" w:rsidP="00293121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B33B4A">
              <w:rPr>
                <w:rFonts w:ascii="Arial" w:hAnsi="Arial" w:cs="Arial"/>
              </w:rPr>
              <w:t>Include cultural awareness and capability training for all staff as part of induction and biannual refresher training.</w:t>
            </w:r>
          </w:p>
        </w:tc>
        <w:tc>
          <w:tcPr>
            <w:tcW w:w="184" w:type="pct"/>
            <w:vAlign w:val="center"/>
          </w:tcPr>
          <w:p w14:paraId="355E510B" w14:textId="77777777" w:rsidR="00C02324" w:rsidRPr="00F25803" w:rsidRDefault="00C02324" w:rsidP="002931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F70E6">
              <w:rPr>
                <w:rFonts w:ascii="Arial" w:hAnsi="Arial" w:cs="Arial"/>
                <w:noProof/>
                <w:color w:val="000000"/>
                <w:sz w:val="17"/>
                <w:szCs w:val="17"/>
                <w:lang w:eastAsia="en-AU"/>
              </w:rPr>
              <w:drawing>
                <wp:inline distT="0" distB="0" distL="0" distR="0" wp14:anchorId="5B4EA0FE" wp14:editId="728315B9">
                  <wp:extent cx="200025" cy="223970"/>
                  <wp:effectExtent l="0" t="0" r="0" b="508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30" cy="2346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7E57D288" w14:textId="179187E0" w:rsidR="00C02324" w:rsidRPr="00FD4ED2" w:rsidRDefault="00B33B4A" w:rsidP="0029312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QMHC</w:t>
            </w:r>
          </w:p>
        </w:tc>
        <w:tc>
          <w:tcPr>
            <w:tcW w:w="470" w:type="pct"/>
            <w:shd w:val="clear" w:color="auto" w:fill="auto"/>
            <w:vAlign w:val="center"/>
          </w:tcPr>
          <w:p w14:paraId="0A34ACD0" w14:textId="77777777" w:rsidR="00C02324" w:rsidRPr="00FD4ED2" w:rsidRDefault="00C02324" w:rsidP="0029312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FD4ED2">
              <w:rPr>
                <w:rFonts w:ascii="Arial" w:hAnsi="Arial" w:cs="Arial"/>
                <w:bCs/>
              </w:rPr>
              <w:t>2019–22</w:t>
            </w:r>
          </w:p>
        </w:tc>
        <w:tc>
          <w:tcPr>
            <w:tcW w:w="538" w:type="pct"/>
            <w:shd w:val="clear" w:color="auto" w:fill="auto"/>
            <w:vAlign w:val="center"/>
          </w:tcPr>
          <w:p w14:paraId="21D64F5A" w14:textId="6D701F3B" w:rsidR="00C02324" w:rsidRPr="008D515F" w:rsidRDefault="008D515F" w:rsidP="005A2832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bCs/>
              </w:rPr>
            </w:pPr>
            <w:r w:rsidRPr="008D515F">
              <w:rPr>
                <w:rFonts w:ascii="Arial" w:hAnsi="Arial" w:cs="Arial"/>
                <w:bCs/>
              </w:rPr>
              <w:t>On track</w:t>
            </w:r>
          </w:p>
        </w:tc>
        <w:tc>
          <w:tcPr>
            <w:tcW w:w="1304" w:type="pct"/>
            <w:shd w:val="clear" w:color="auto" w:fill="auto"/>
            <w:vAlign w:val="center"/>
          </w:tcPr>
          <w:p w14:paraId="35AEF47B" w14:textId="0637ACA0" w:rsidR="00C02324" w:rsidRPr="00B76218" w:rsidRDefault="00B76218" w:rsidP="005A2832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bCs/>
              </w:rPr>
            </w:pPr>
            <w:r w:rsidRPr="00B76218">
              <w:rPr>
                <w:rFonts w:ascii="Arial" w:hAnsi="Arial" w:cs="Arial"/>
                <w:bCs/>
              </w:rPr>
              <w:t>A</w:t>
            </w:r>
            <w:r w:rsidR="008D515F" w:rsidRPr="00B76218">
              <w:rPr>
                <w:rFonts w:ascii="Arial" w:hAnsi="Arial" w:cs="Arial"/>
                <w:bCs/>
              </w:rPr>
              <w:t xml:space="preserve"> </w:t>
            </w:r>
            <w:r w:rsidRPr="00B76218">
              <w:rPr>
                <w:rFonts w:ascii="Arial" w:hAnsi="Arial" w:cs="Arial"/>
                <w:bCs/>
              </w:rPr>
              <w:t xml:space="preserve">Staff Training </w:t>
            </w:r>
            <w:r w:rsidR="008D515F" w:rsidRPr="00B76218">
              <w:rPr>
                <w:rFonts w:ascii="Arial" w:hAnsi="Arial" w:cs="Arial"/>
                <w:bCs/>
              </w:rPr>
              <w:t xml:space="preserve">Cultural </w:t>
            </w:r>
            <w:r w:rsidRPr="00B76218">
              <w:rPr>
                <w:rFonts w:ascii="Arial" w:hAnsi="Arial" w:cs="Arial"/>
                <w:bCs/>
              </w:rPr>
              <w:t xml:space="preserve">Awareness and </w:t>
            </w:r>
            <w:r w:rsidR="008D515F" w:rsidRPr="00B76218">
              <w:rPr>
                <w:rFonts w:ascii="Arial" w:hAnsi="Arial" w:cs="Arial"/>
                <w:bCs/>
              </w:rPr>
              <w:t>Com</w:t>
            </w:r>
            <w:r w:rsidRPr="00B76218">
              <w:rPr>
                <w:rFonts w:ascii="Arial" w:hAnsi="Arial" w:cs="Arial"/>
                <w:bCs/>
              </w:rPr>
              <w:t>p</w:t>
            </w:r>
            <w:r w:rsidR="008D515F" w:rsidRPr="00B76218">
              <w:rPr>
                <w:rFonts w:ascii="Arial" w:hAnsi="Arial" w:cs="Arial"/>
                <w:bCs/>
              </w:rPr>
              <w:t>etency Program</w:t>
            </w:r>
            <w:r w:rsidRPr="00B76218">
              <w:rPr>
                <w:rFonts w:ascii="Arial" w:hAnsi="Arial" w:cs="Arial"/>
                <w:bCs/>
              </w:rPr>
              <w:t xml:space="preserve"> (recommended by Multicultural Affairs)</w:t>
            </w:r>
            <w:r w:rsidR="008D515F" w:rsidRPr="00B76218">
              <w:rPr>
                <w:rFonts w:ascii="Arial" w:hAnsi="Arial" w:cs="Arial"/>
                <w:bCs/>
              </w:rPr>
              <w:t xml:space="preserve"> </w:t>
            </w:r>
            <w:r w:rsidRPr="00B76218">
              <w:rPr>
                <w:rFonts w:ascii="Arial" w:hAnsi="Arial" w:cs="Arial"/>
                <w:bCs/>
              </w:rPr>
              <w:t>is to be adopted by the Commission which is planned for online roll out to staff during the 3</w:t>
            </w:r>
            <w:r w:rsidRPr="00B76218">
              <w:rPr>
                <w:rFonts w:ascii="Arial" w:hAnsi="Arial" w:cs="Arial"/>
                <w:bCs/>
                <w:vertAlign w:val="superscript"/>
              </w:rPr>
              <w:t>rd</w:t>
            </w:r>
            <w:r w:rsidRPr="00B76218">
              <w:rPr>
                <w:rFonts w:ascii="Arial" w:hAnsi="Arial" w:cs="Arial"/>
                <w:bCs/>
              </w:rPr>
              <w:t xml:space="preserve"> quarter </w:t>
            </w:r>
            <w:r w:rsidR="00947B6A">
              <w:rPr>
                <w:rFonts w:ascii="Arial" w:hAnsi="Arial" w:cs="Arial"/>
                <w:bCs/>
              </w:rPr>
              <w:t>20</w:t>
            </w:r>
            <w:r w:rsidRPr="00B76218">
              <w:rPr>
                <w:rFonts w:ascii="Arial" w:hAnsi="Arial" w:cs="Arial"/>
                <w:bCs/>
              </w:rPr>
              <w:t>20/21</w:t>
            </w:r>
            <w:r>
              <w:rPr>
                <w:rFonts w:ascii="Arial" w:hAnsi="Arial" w:cs="Arial"/>
                <w:bCs/>
              </w:rPr>
              <w:t>. This will then be included in new staff induction and existing staff refresher training.</w:t>
            </w:r>
            <w:r w:rsidRPr="00B76218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B33B4A" w:rsidRPr="00FD4ED2" w14:paraId="4BA8DCCE" w14:textId="77777777" w:rsidTr="0005388A">
        <w:trPr>
          <w:jc w:val="center"/>
        </w:trPr>
        <w:tc>
          <w:tcPr>
            <w:tcW w:w="1865" w:type="pct"/>
            <w:shd w:val="clear" w:color="auto" w:fill="auto"/>
            <w:vAlign w:val="center"/>
          </w:tcPr>
          <w:p w14:paraId="24CB5EFD" w14:textId="772A30F4" w:rsidR="00B33B4A" w:rsidRPr="00B33B4A" w:rsidRDefault="00B33B4A" w:rsidP="00B33B4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B33B4A">
              <w:rPr>
                <w:rFonts w:ascii="Arial" w:hAnsi="Arial" w:cs="Arial"/>
              </w:rPr>
              <w:t>Commit to increasing all forms of diversity on Queensland Government boards.</w:t>
            </w:r>
          </w:p>
        </w:tc>
        <w:tc>
          <w:tcPr>
            <w:tcW w:w="184" w:type="pct"/>
            <w:vAlign w:val="center"/>
          </w:tcPr>
          <w:p w14:paraId="2907CC14" w14:textId="04C3A72C" w:rsidR="00B33B4A" w:rsidRPr="005F70E6" w:rsidRDefault="00B33B4A" w:rsidP="00B33B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color w:val="000000"/>
                <w:sz w:val="17"/>
                <w:szCs w:val="17"/>
                <w:lang w:eastAsia="en-AU"/>
              </w:rPr>
            </w:pPr>
            <w:r w:rsidRPr="005F70E6">
              <w:rPr>
                <w:rFonts w:ascii="Arial" w:hAnsi="Arial" w:cs="Arial"/>
                <w:noProof/>
                <w:color w:val="000000"/>
                <w:sz w:val="17"/>
                <w:szCs w:val="17"/>
                <w:lang w:eastAsia="en-AU"/>
              </w:rPr>
              <w:drawing>
                <wp:inline distT="0" distB="0" distL="0" distR="0" wp14:anchorId="60F0F748" wp14:editId="174B7D1F">
                  <wp:extent cx="200025" cy="223970"/>
                  <wp:effectExtent l="0" t="0" r="0" b="508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30" cy="2346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460BBA52" w14:textId="77777777" w:rsidR="00B33B4A" w:rsidRPr="00FD4ED2" w:rsidRDefault="00B33B4A" w:rsidP="00B33B4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14:paraId="4AF7AE23" w14:textId="77777777" w:rsidR="00B33B4A" w:rsidRPr="00FD4ED2" w:rsidRDefault="00B33B4A" w:rsidP="00B33B4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All agencies</w:t>
            </w:r>
          </w:p>
          <w:p w14:paraId="2B2CEFA3" w14:textId="77777777" w:rsidR="00B33B4A" w:rsidRDefault="00B33B4A" w:rsidP="00B33B4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470" w:type="pct"/>
            <w:shd w:val="clear" w:color="auto" w:fill="auto"/>
            <w:vAlign w:val="center"/>
          </w:tcPr>
          <w:p w14:paraId="75F207EB" w14:textId="1AE04018" w:rsidR="00B33B4A" w:rsidRPr="00FD4ED2" w:rsidRDefault="00B33B4A" w:rsidP="00B33B4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FD4ED2">
              <w:rPr>
                <w:rFonts w:ascii="Arial" w:hAnsi="Arial" w:cs="Arial"/>
                <w:bCs/>
              </w:rPr>
              <w:t>2019–22</w:t>
            </w:r>
          </w:p>
        </w:tc>
        <w:tc>
          <w:tcPr>
            <w:tcW w:w="538" w:type="pct"/>
            <w:shd w:val="clear" w:color="auto" w:fill="auto"/>
            <w:vAlign w:val="center"/>
          </w:tcPr>
          <w:p w14:paraId="6126BC0E" w14:textId="4B253C71" w:rsidR="00B33B4A" w:rsidRPr="008D515F" w:rsidRDefault="00E6546A" w:rsidP="00B33B4A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bCs/>
              </w:rPr>
            </w:pPr>
            <w:r w:rsidRPr="008D515F">
              <w:rPr>
                <w:rFonts w:ascii="Arial" w:hAnsi="Arial" w:cs="Arial"/>
                <w:bCs/>
              </w:rPr>
              <w:t xml:space="preserve">Ongoing commitment </w:t>
            </w:r>
            <w:r w:rsidR="008D515F" w:rsidRPr="008D515F">
              <w:rPr>
                <w:rFonts w:ascii="Arial" w:hAnsi="Arial" w:cs="Arial"/>
                <w:bCs/>
              </w:rPr>
              <w:t>o</w:t>
            </w:r>
            <w:r w:rsidRPr="008D515F">
              <w:rPr>
                <w:rFonts w:ascii="Arial" w:hAnsi="Arial" w:cs="Arial"/>
                <w:bCs/>
              </w:rPr>
              <w:t>n track</w:t>
            </w:r>
          </w:p>
        </w:tc>
        <w:tc>
          <w:tcPr>
            <w:tcW w:w="1304" w:type="pct"/>
            <w:shd w:val="clear" w:color="auto" w:fill="auto"/>
            <w:vAlign w:val="center"/>
          </w:tcPr>
          <w:p w14:paraId="26093E54" w14:textId="440DE305" w:rsidR="008D515F" w:rsidRPr="00B76218" w:rsidRDefault="00E6546A" w:rsidP="00B76218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b/>
              </w:rPr>
            </w:pPr>
            <w:r w:rsidRPr="00D87EEE">
              <w:rPr>
                <w:rFonts w:ascii="Arial" w:hAnsi="Arial" w:cs="Arial"/>
                <w:bCs/>
              </w:rPr>
              <w:t xml:space="preserve">Queensland Mental Health and Drug </w:t>
            </w:r>
            <w:r w:rsidR="008D515F" w:rsidRPr="00D87EEE">
              <w:rPr>
                <w:rFonts w:ascii="Arial" w:hAnsi="Arial" w:cs="Arial"/>
                <w:bCs/>
              </w:rPr>
              <w:t>A</w:t>
            </w:r>
            <w:r w:rsidRPr="00D87EEE">
              <w:rPr>
                <w:rFonts w:ascii="Arial" w:hAnsi="Arial" w:cs="Arial"/>
                <w:bCs/>
              </w:rPr>
              <w:t>dvisory Council</w:t>
            </w:r>
            <w:r w:rsidRPr="00B76218">
              <w:rPr>
                <w:rFonts w:ascii="Arial" w:hAnsi="Arial" w:cs="Arial"/>
                <w:b/>
              </w:rPr>
              <w:t xml:space="preserve"> </w:t>
            </w:r>
            <w:r w:rsidRPr="00D87EEE">
              <w:rPr>
                <w:rFonts w:ascii="Arial" w:hAnsi="Arial" w:cs="Arial"/>
                <w:bCs/>
              </w:rPr>
              <w:t xml:space="preserve">– </w:t>
            </w:r>
            <w:r w:rsidRPr="00B76218">
              <w:rPr>
                <w:rFonts w:ascii="Arial" w:hAnsi="Arial" w:cs="Arial"/>
                <w:bCs/>
              </w:rPr>
              <w:t>provides advice to the Commission on mental health</w:t>
            </w:r>
            <w:r w:rsidR="00043F75">
              <w:rPr>
                <w:rFonts w:ascii="Arial" w:hAnsi="Arial" w:cs="Arial"/>
                <w:bCs/>
              </w:rPr>
              <w:t xml:space="preserve">, alcohol and other drugs and suicide related issues. </w:t>
            </w:r>
            <w:r w:rsidRPr="00B76218">
              <w:rPr>
                <w:rFonts w:ascii="Arial" w:hAnsi="Arial" w:cs="Arial"/>
                <w:bCs/>
              </w:rPr>
              <w:t xml:space="preserve">This Council continues to represent </w:t>
            </w:r>
            <w:r w:rsidR="00043F75">
              <w:rPr>
                <w:rFonts w:ascii="Arial" w:hAnsi="Arial" w:cs="Arial"/>
                <w:bCs/>
              </w:rPr>
              <w:t xml:space="preserve">the </w:t>
            </w:r>
            <w:r w:rsidRPr="00B76218">
              <w:rPr>
                <w:rFonts w:ascii="Arial" w:hAnsi="Arial" w:cs="Arial"/>
                <w:bCs/>
              </w:rPr>
              <w:t xml:space="preserve">wide diversity </w:t>
            </w:r>
            <w:r w:rsidR="00043F75">
              <w:rPr>
                <w:rFonts w:ascii="Arial" w:hAnsi="Arial" w:cs="Arial"/>
                <w:bCs/>
              </w:rPr>
              <w:t>of the Queensland community and the s</w:t>
            </w:r>
            <w:r w:rsidRPr="00B76218">
              <w:rPr>
                <w:rFonts w:ascii="Arial" w:hAnsi="Arial" w:cs="Arial"/>
                <w:bCs/>
              </w:rPr>
              <w:t>ector.</w:t>
            </w:r>
          </w:p>
        </w:tc>
      </w:tr>
      <w:tr w:rsidR="00B33B4A" w:rsidRPr="00F25803" w14:paraId="6200F9EC" w14:textId="77777777" w:rsidTr="0005388A">
        <w:trPr>
          <w:jc w:val="center"/>
        </w:trPr>
        <w:tc>
          <w:tcPr>
            <w:tcW w:w="5000" w:type="pct"/>
            <w:gridSpan w:val="6"/>
            <w:shd w:val="clear" w:color="auto" w:fill="C0504D"/>
          </w:tcPr>
          <w:p w14:paraId="4F0525E3" w14:textId="77777777" w:rsidR="00B33B4A" w:rsidRPr="0005388A" w:rsidRDefault="00B33B4A" w:rsidP="00B33B4A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b/>
                <w:bCs/>
              </w:rPr>
            </w:pPr>
            <w:r w:rsidRPr="0005388A">
              <w:rPr>
                <w:rFonts w:ascii="Arial" w:hAnsi="Arial" w:cs="Arial"/>
                <w:b/>
                <w:bCs/>
              </w:rPr>
              <w:t>Insert case studies or good news stories to highlight achievements relevant to Priority area 1:</w:t>
            </w:r>
          </w:p>
          <w:p w14:paraId="138B4C76" w14:textId="4A0F093D" w:rsidR="00B33B4A" w:rsidRPr="00F25803" w:rsidRDefault="00947B6A" w:rsidP="00B33B4A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</w:rPr>
              <w:t>Nil</w:t>
            </w:r>
          </w:p>
        </w:tc>
      </w:tr>
    </w:tbl>
    <w:p w14:paraId="43358FD9" w14:textId="17765DEF" w:rsidR="00C02324" w:rsidRDefault="00C02324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900561A" w14:textId="353ED638" w:rsidR="00A86725" w:rsidRPr="0005388A" w:rsidRDefault="00A86725" w:rsidP="00C3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F81BD"/>
          <w:sz w:val="36"/>
          <w:szCs w:val="36"/>
        </w:rPr>
      </w:pPr>
      <w:r w:rsidRPr="0005388A">
        <w:rPr>
          <w:rFonts w:ascii="Arial" w:hAnsi="Arial" w:cs="Arial"/>
          <w:b/>
          <w:color w:val="4F81BD"/>
          <w:sz w:val="36"/>
          <w:szCs w:val="36"/>
        </w:rPr>
        <w:lastRenderedPageBreak/>
        <w:t xml:space="preserve">Priority area 2: Inclusive, </w:t>
      </w:r>
      <w:r w:rsidR="00947B6A" w:rsidRPr="0005388A">
        <w:rPr>
          <w:rFonts w:ascii="Arial" w:hAnsi="Arial" w:cs="Arial"/>
          <w:b/>
          <w:color w:val="4F81BD"/>
          <w:sz w:val="36"/>
          <w:szCs w:val="36"/>
        </w:rPr>
        <w:t>harmonious,</w:t>
      </w:r>
      <w:r w:rsidRPr="0005388A">
        <w:rPr>
          <w:rFonts w:ascii="Arial" w:hAnsi="Arial" w:cs="Arial"/>
          <w:b/>
          <w:color w:val="4F81BD"/>
          <w:sz w:val="36"/>
          <w:szCs w:val="36"/>
        </w:rPr>
        <w:t xml:space="preserve"> and united communities</w:t>
      </w:r>
    </w:p>
    <w:p w14:paraId="7AEEC88A" w14:textId="77777777" w:rsidR="00D629FC" w:rsidRDefault="00D629FC" w:rsidP="00C023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F81BD"/>
        </w:rPr>
      </w:pPr>
    </w:p>
    <w:p w14:paraId="566B7D62" w14:textId="51E28AAC" w:rsidR="00115FAA" w:rsidRPr="0005388A" w:rsidRDefault="00FD0BD2" w:rsidP="00C023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F81BD"/>
        </w:rPr>
      </w:pPr>
      <w:r w:rsidRPr="0005388A">
        <w:rPr>
          <w:rFonts w:ascii="Arial" w:hAnsi="Arial" w:cs="Arial"/>
          <w:b/>
          <w:color w:val="4F81BD"/>
        </w:rPr>
        <w:t>Outcome</w:t>
      </w:r>
      <w:r w:rsidR="00115FAA" w:rsidRPr="0005388A">
        <w:rPr>
          <w:rFonts w:ascii="Arial" w:hAnsi="Arial" w:cs="Arial"/>
          <w:b/>
          <w:color w:val="4F81BD"/>
        </w:rPr>
        <w:t>s</w:t>
      </w:r>
      <w:r w:rsidRPr="0005388A">
        <w:rPr>
          <w:rFonts w:ascii="Arial" w:hAnsi="Arial" w:cs="Arial"/>
          <w:b/>
          <w:color w:val="4F81BD"/>
        </w:rPr>
        <w:t xml:space="preserve">: </w:t>
      </w:r>
    </w:p>
    <w:p w14:paraId="6F649EF0" w14:textId="5393352D" w:rsidR="00536B6E" w:rsidRPr="0005388A" w:rsidRDefault="00A86725" w:rsidP="00115FAA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color w:val="4F81BD"/>
        </w:rPr>
      </w:pPr>
      <w:r w:rsidRPr="0005388A">
        <w:rPr>
          <w:rFonts w:ascii="Arial" w:hAnsi="Arial" w:cs="Arial"/>
          <w:b/>
          <w:color w:val="4F81BD"/>
        </w:rPr>
        <w:t>Recognition and respect for Aboriginal and Torres Strai</w:t>
      </w:r>
      <w:r w:rsidR="00FD0BD2" w:rsidRPr="0005388A">
        <w:rPr>
          <w:rFonts w:ascii="Arial" w:hAnsi="Arial" w:cs="Arial"/>
          <w:b/>
          <w:color w:val="4F81BD"/>
        </w:rPr>
        <w:t>t Islander heritage and culture</w:t>
      </w:r>
    </w:p>
    <w:p w14:paraId="516BE985" w14:textId="662DE9F9" w:rsidR="00115FAA" w:rsidRPr="0005388A" w:rsidRDefault="00115FAA" w:rsidP="00115FAA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color w:val="4F81BD"/>
        </w:rPr>
      </w:pPr>
      <w:r w:rsidRPr="0005388A">
        <w:rPr>
          <w:rFonts w:ascii="Arial" w:hAnsi="Arial" w:cs="Arial"/>
          <w:b/>
          <w:color w:val="4F81BD"/>
        </w:rPr>
        <w:t xml:space="preserve">Queenslanders celebrate our multicultural </w:t>
      </w:r>
      <w:r w:rsidR="00C85864">
        <w:rPr>
          <w:rFonts w:ascii="Arial" w:hAnsi="Arial" w:cs="Arial"/>
          <w:b/>
          <w:color w:val="4F81BD"/>
        </w:rPr>
        <w:t xml:space="preserve">identity </w:t>
      </w:r>
      <w:r w:rsidRPr="0005388A">
        <w:rPr>
          <w:rFonts w:ascii="Arial" w:hAnsi="Arial" w:cs="Arial"/>
          <w:b/>
          <w:color w:val="4F81BD"/>
        </w:rPr>
        <w:t xml:space="preserve"> </w:t>
      </w:r>
    </w:p>
    <w:p w14:paraId="4B667263" w14:textId="582BB74B" w:rsidR="00115FAA" w:rsidRPr="0005388A" w:rsidRDefault="00115FAA" w:rsidP="00115FAA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color w:val="4F81BD"/>
        </w:rPr>
      </w:pPr>
      <w:r w:rsidRPr="0005388A">
        <w:rPr>
          <w:rFonts w:ascii="Arial" w:hAnsi="Arial" w:cs="Arial"/>
          <w:b/>
          <w:color w:val="4F81BD"/>
        </w:rPr>
        <w:t xml:space="preserve">Connected and resilient communities </w:t>
      </w:r>
    </w:p>
    <w:p w14:paraId="202390E3" w14:textId="5D5464A2" w:rsidR="00115FAA" w:rsidRPr="0005388A" w:rsidRDefault="00115FAA" w:rsidP="0005388A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color w:val="4F81BD"/>
        </w:rPr>
      </w:pPr>
      <w:r w:rsidRPr="0005388A">
        <w:rPr>
          <w:rFonts w:ascii="Arial" w:hAnsi="Arial" w:cs="Arial"/>
          <w:b/>
          <w:color w:val="4F81BD"/>
        </w:rPr>
        <w:t xml:space="preserve">A respectful and inclusive narrative about diversity </w:t>
      </w:r>
    </w:p>
    <w:p w14:paraId="13287256" w14:textId="11B71BC5" w:rsidR="00C02324" w:rsidRDefault="00C02324" w:rsidP="00C023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B0F0"/>
        </w:rPr>
      </w:pPr>
    </w:p>
    <w:tbl>
      <w:tblPr>
        <w:tblStyle w:val="TableGrid"/>
        <w:tblW w:w="5000" w:type="pct"/>
        <w:jc w:val="center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ook w:val="04A0" w:firstRow="1" w:lastRow="0" w:firstColumn="1" w:lastColumn="0" w:noHBand="0" w:noVBand="1"/>
      </w:tblPr>
      <w:tblGrid>
        <w:gridCol w:w="7988"/>
        <w:gridCol w:w="693"/>
        <w:gridCol w:w="2678"/>
        <w:gridCol w:w="1982"/>
        <w:gridCol w:w="2256"/>
        <w:gridCol w:w="5491"/>
      </w:tblGrid>
      <w:tr w:rsidR="00C02324" w:rsidRPr="0054491B" w14:paraId="4C83EDC5" w14:textId="77777777" w:rsidTr="00947B6A">
        <w:trPr>
          <w:trHeight w:val="1715"/>
          <w:tblHeader/>
          <w:jc w:val="center"/>
        </w:trPr>
        <w:tc>
          <w:tcPr>
            <w:tcW w:w="1894" w:type="pct"/>
            <w:shd w:val="clear" w:color="auto" w:fill="D9D9D9" w:themeFill="background1" w:themeFillShade="D9"/>
          </w:tcPr>
          <w:p w14:paraId="7C9F47DE" w14:textId="77777777" w:rsidR="00C02324" w:rsidRPr="0054491B" w:rsidRDefault="00C02324" w:rsidP="005A2832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b/>
              </w:rPr>
            </w:pPr>
            <w:r w:rsidRPr="0054491B">
              <w:rPr>
                <w:rFonts w:ascii="Arial" w:hAnsi="Arial" w:cs="Arial"/>
                <w:b/>
              </w:rPr>
              <w:t>Action</w:t>
            </w:r>
          </w:p>
        </w:tc>
        <w:tc>
          <w:tcPr>
            <w:tcW w:w="164" w:type="pct"/>
            <w:shd w:val="clear" w:color="auto" w:fill="D9D9D9" w:themeFill="background1" w:themeFillShade="D9"/>
          </w:tcPr>
          <w:p w14:paraId="05951865" w14:textId="77777777" w:rsidR="00C02324" w:rsidRPr="0054491B" w:rsidRDefault="00C02324" w:rsidP="005A2832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AQP</w:t>
            </w:r>
          </w:p>
        </w:tc>
        <w:tc>
          <w:tcPr>
            <w:tcW w:w="635" w:type="pct"/>
            <w:shd w:val="clear" w:color="auto" w:fill="D9D9D9" w:themeFill="background1" w:themeFillShade="D9"/>
          </w:tcPr>
          <w:p w14:paraId="43D5A133" w14:textId="08308738" w:rsidR="00C02324" w:rsidRPr="0054491B" w:rsidRDefault="00C85864" w:rsidP="005A2832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Responsible agency </w:t>
            </w:r>
          </w:p>
        </w:tc>
        <w:tc>
          <w:tcPr>
            <w:tcW w:w="470" w:type="pct"/>
            <w:shd w:val="clear" w:color="auto" w:fill="D9D9D9" w:themeFill="background1" w:themeFillShade="D9"/>
          </w:tcPr>
          <w:p w14:paraId="7595F871" w14:textId="77777777" w:rsidR="00C02324" w:rsidRPr="0054491B" w:rsidRDefault="00C02324" w:rsidP="005A2832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b/>
              </w:rPr>
            </w:pPr>
            <w:r w:rsidRPr="0054491B">
              <w:rPr>
                <w:rFonts w:ascii="Arial" w:hAnsi="Arial" w:cs="Arial"/>
                <w:b/>
              </w:rPr>
              <w:t>Timeframe</w:t>
            </w:r>
          </w:p>
        </w:tc>
        <w:tc>
          <w:tcPr>
            <w:tcW w:w="535" w:type="pct"/>
            <w:shd w:val="clear" w:color="auto" w:fill="D9D9D9" w:themeFill="background1" w:themeFillShade="D9"/>
          </w:tcPr>
          <w:p w14:paraId="1568FBDE" w14:textId="77777777" w:rsidR="00C02324" w:rsidRDefault="00C02324" w:rsidP="005A2832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Progress status for 2019-20</w:t>
            </w:r>
          </w:p>
          <w:p w14:paraId="77932E04" w14:textId="77777777" w:rsidR="00C02324" w:rsidRPr="00A95483" w:rsidRDefault="00C02324" w:rsidP="005A2832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A95483">
              <w:rPr>
                <w:rFonts w:ascii="Arial" w:hAnsi="Arial" w:cs="Arial"/>
                <w:sz w:val="18"/>
                <w:szCs w:val="18"/>
              </w:rPr>
              <w:t xml:space="preserve">Legend: </w:t>
            </w:r>
          </w:p>
          <w:p w14:paraId="64593C66" w14:textId="77777777" w:rsidR="00C02324" w:rsidRPr="00A95483" w:rsidRDefault="00C02324" w:rsidP="005A2832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A95483">
              <w:rPr>
                <w:rFonts w:ascii="Arial" w:hAnsi="Arial" w:cs="Arial"/>
                <w:sz w:val="18"/>
                <w:szCs w:val="18"/>
              </w:rPr>
              <w:t>On track</w:t>
            </w:r>
          </w:p>
          <w:p w14:paraId="4E6EF317" w14:textId="77777777" w:rsidR="00C02324" w:rsidRPr="00A95483" w:rsidRDefault="00C02324" w:rsidP="005A2832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A95483">
              <w:rPr>
                <w:rFonts w:ascii="Arial" w:hAnsi="Arial" w:cs="Arial"/>
                <w:sz w:val="18"/>
                <w:szCs w:val="18"/>
              </w:rPr>
              <w:t>Completed</w:t>
            </w:r>
          </w:p>
          <w:p w14:paraId="268F598E" w14:textId="4892FE4C" w:rsidR="00C02324" w:rsidRPr="00947B6A" w:rsidRDefault="00C02324" w:rsidP="005A2832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A95483">
              <w:rPr>
                <w:rFonts w:ascii="Arial" w:hAnsi="Arial" w:cs="Arial"/>
                <w:sz w:val="18"/>
                <w:szCs w:val="18"/>
              </w:rPr>
              <w:t>Yet to commence</w:t>
            </w:r>
          </w:p>
        </w:tc>
        <w:tc>
          <w:tcPr>
            <w:tcW w:w="1302" w:type="pct"/>
            <w:shd w:val="clear" w:color="auto" w:fill="D9D9D9" w:themeFill="background1" w:themeFillShade="D9"/>
          </w:tcPr>
          <w:p w14:paraId="646B596D" w14:textId="77777777" w:rsidR="00C02324" w:rsidRPr="00534C28" w:rsidRDefault="00C02324" w:rsidP="005A2832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b/>
              </w:rPr>
            </w:pPr>
            <w:r w:rsidRPr="00534C28">
              <w:rPr>
                <w:rFonts w:ascii="Arial" w:hAnsi="Arial" w:cs="Arial"/>
                <w:b/>
              </w:rPr>
              <w:t>Achievements and outcomes</w:t>
            </w:r>
            <w:r>
              <w:rPr>
                <w:rFonts w:ascii="Arial" w:hAnsi="Arial" w:cs="Arial"/>
                <w:b/>
              </w:rPr>
              <w:t xml:space="preserve"> for people from culturally and linguistically diverse communities </w:t>
            </w:r>
          </w:p>
          <w:p w14:paraId="05529753" w14:textId="77777777" w:rsidR="00C02324" w:rsidRPr="0054491B" w:rsidRDefault="00C02324" w:rsidP="005A2832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b/>
              </w:rPr>
            </w:pPr>
            <w:r w:rsidRPr="00F45F69">
              <w:rPr>
                <w:rFonts w:ascii="Arial" w:hAnsi="Arial" w:cs="Arial"/>
                <w:sz w:val="18"/>
                <w:szCs w:val="18"/>
              </w:rPr>
              <w:t>Please provide commentary e.g. 3-4 dot points of advice on achievements and outcomes. Include qualitative and quantitative data if available/relevant.</w:t>
            </w:r>
          </w:p>
        </w:tc>
      </w:tr>
      <w:tr w:rsidR="00C02324" w:rsidRPr="00536B6E" w14:paraId="38E3302B" w14:textId="77777777" w:rsidTr="00B33B4A">
        <w:trPr>
          <w:trHeight w:val="890"/>
          <w:jc w:val="center"/>
        </w:trPr>
        <w:tc>
          <w:tcPr>
            <w:tcW w:w="1894" w:type="pct"/>
            <w:shd w:val="clear" w:color="auto" w:fill="auto"/>
            <w:vAlign w:val="center"/>
          </w:tcPr>
          <w:p w14:paraId="735579B5" w14:textId="367C5774" w:rsidR="00C02324" w:rsidRPr="00B33B4A" w:rsidDel="00CF06B0" w:rsidRDefault="00C02324" w:rsidP="00293121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</w:rPr>
            </w:pPr>
            <w:r w:rsidRPr="00B33B4A">
              <w:rPr>
                <w:rFonts w:ascii="Arial" w:hAnsi="Arial" w:cs="Arial"/>
                <w:bCs/>
                <w:noProof/>
              </w:rPr>
              <w:drawing>
                <wp:anchor distT="0" distB="0" distL="114300" distR="114300" simplePos="0" relativeHeight="251684864" behindDoc="0" locked="0" layoutInCell="1" allowOverlap="1" wp14:anchorId="71C62DEE" wp14:editId="0C718E16">
                  <wp:simplePos x="0" y="0"/>
                  <wp:positionH relativeFrom="column">
                    <wp:posOffset>4726940</wp:posOffset>
                  </wp:positionH>
                  <wp:positionV relativeFrom="paragraph">
                    <wp:posOffset>-34290</wp:posOffset>
                  </wp:positionV>
                  <wp:extent cx="224790" cy="211455"/>
                  <wp:effectExtent l="0" t="0" r="3810" b="0"/>
                  <wp:wrapNone/>
                  <wp:docPr id="438" name="Picture 438" descr="C:\Users\tohl\AppData\Local\Microsoft\Windows\INetCache\Content.MSO\BC4033F5.tmp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8" name="Picture 438" descr="C:\Users\tohl\AppData\Local\Microsoft\Windows\INetCache\Content.MSO\BC4033F5.tmp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984" t="15788" r="14423" b="23455"/>
                          <a:stretch/>
                        </pic:blipFill>
                        <pic:spPr bwMode="auto">
                          <a:xfrm>
                            <a:off x="0" y="0"/>
                            <a:ext cx="224790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Start w:id="1" w:name="_Hlk10557132"/>
            <w:r w:rsidR="00B33B4A" w:rsidRPr="00B33B4A">
              <w:rPr>
                <w:rStyle w:val="Heading1Char"/>
                <w:rFonts w:ascii="Arial" w:hAnsi="Arial" w:cs="Arial"/>
                <w:bCs/>
                <w:color w:val="auto"/>
                <w:sz w:val="22"/>
                <w:szCs w:val="22"/>
              </w:rPr>
              <w:t xml:space="preserve">Promote the Multicultural Queensland Charter to government agency staff </w:t>
            </w:r>
            <w:r w:rsidR="00B33B4A">
              <w:rPr>
                <w:rStyle w:val="Heading1Char"/>
                <w:rFonts w:ascii="Arial" w:hAnsi="Arial" w:cs="Arial"/>
                <w:bCs/>
                <w:color w:val="auto"/>
                <w:sz w:val="22"/>
                <w:szCs w:val="22"/>
              </w:rPr>
              <w:t xml:space="preserve"> </w:t>
            </w:r>
            <w:r w:rsidR="00B33B4A">
              <w:rPr>
                <w:rStyle w:val="Heading1Char"/>
                <w:bCs/>
                <w:color w:val="auto"/>
              </w:rPr>
              <w:t xml:space="preserve">  </w:t>
            </w:r>
            <w:r w:rsidR="00B33B4A" w:rsidRPr="00B33B4A">
              <w:rPr>
                <w:rStyle w:val="Heading1Char"/>
                <w:rFonts w:ascii="Arial" w:hAnsi="Arial" w:cs="Arial"/>
                <w:bCs/>
                <w:color w:val="auto"/>
                <w:sz w:val="22"/>
                <w:szCs w:val="22"/>
              </w:rPr>
              <w:t>and consider its principles when developing policies or providing services.</w:t>
            </w:r>
            <w:bookmarkEnd w:id="1"/>
            <w:r w:rsidR="00B33B4A" w:rsidRPr="00B33B4A">
              <w:rPr>
                <w:rStyle w:val="Heading1Char"/>
                <w:rFonts w:ascii="Arial" w:hAnsi="Arial" w:cs="Arial"/>
                <w:bCs/>
                <w:color w:val="auto"/>
                <w:sz w:val="22"/>
                <w:szCs w:val="22"/>
              </w:rPr>
              <w:t xml:space="preserve">  </w:t>
            </w:r>
          </w:p>
        </w:tc>
        <w:tc>
          <w:tcPr>
            <w:tcW w:w="164" w:type="pct"/>
            <w:shd w:val="clear" w:color="auto" w:fill="auto"/>
            <w:vAlign w:val="center"/>
          </w:tcPr>
          <w:p w14:paraId="58D07ACA" w14:textId="77777777" w:rsidR="00C02324" w:rsidRDefault="00C02324" w:rsidP="002931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24620E">
              <w:rPr>
                <w:rFonts w:ascii="Arial" w:hAnsi="Arial" w:cs="Arial"/>
                <w:noProof/>
                <w:color w:val="000000"/>
                <w:sz w:val="17"/>
                <w:szCs w:val="17"/>
                <w:lang w:eastAsia="en-AU"/>
              </w:rPr>
              <w:drawing>
                <wp:inline distT="0" distB="0" distL="0" distR="0" wp14:anchorId="6CCE17E6" wp14:editId="3977BA42">
                  <wp:extent cx="200025" cy="223970"/>
                  <wp:effectExtent l="0" t="0" r="0" b="508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30" cy="2346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5" w:type="pct"/>
            <w:shd w:val="clear" w:color="auto" w:fill="auto"/>
            <w:vAlign w:val="center"/>
          </w:tcPr>
          <w:p w14:paraId="51038108" w14:textId="77777777" w:rsidR="00C02324" w:rsidRPr="008D2CD9" w:rsidRDefault="00C02324" w:rsidP="0029312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All agencies </w:t>
            </w:r>
          </w:p>
        </w:tc>
        <w:tc>
          <w:tcPr>
            <w:tcW w:w="470" w:type="pct"/>
            <w:shd w:val="clear" w:color="auto" w:fill="auto"/>
            <w:vAlign w:val="center"/>
          </w:tcPr>
          <w:p w14:paraId="0E79EE18" w14:textId="77777777" w:rsidR="00C02324" w:rsidRPr="008D2CD9" w:rsidRDefault="00C02324" w:rsidP="0029312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D2CD9">
              <w:rPr>
                <w:rFonts w:ascii="Arial" w:hAnsi="Arial" w:cs="Arial"/>
              </w:rPr>
              <w:t>2019–22</w:t>
            </w:r>
          </w:p>
        </w:tc>
        <w:tc>
          <w:tcPr>
            <w:tcW w:w="1837" w:type="pct"/>
            <w:gridSpan w:val="2"/>
            <w:shd w:val="diagStripe" w:color="auto" w:fill="auto"/>
            <w:vAlign w:val="center"/>
          </w:tcPr>
          <w:p w14:paraId="5194147F" w14:textId="77777777" w:rsidR="00C02324" w:rsidRPr="00536B6E" w:rsidRDefault="00C02324" w:rsidP="005A2832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b/>
              </w:rPr>
            </w:pPr>
          </w:p>
        </w:tc>
      </w:tr>
      <w:tr w:rsidR="00B33B4A" w:rsidRPr="00536B6E" w14:paraId="09D714FF" w14:textId="77777777" w:rsidTr="0005388A">
        <w:trPr>
          <w:trHeight w:val="530"/>
          <w:jc w:val="center"/>
        </w:trPr>
        <w:tc>
          <w:tcPr>
            <w:tcW w:w="1894" w:type="pct"/>
            <w:shd w:val="clear" w:color="auto" w:fill="auto"/>
            <w:vAlign w:val="center"/>
          </w:tcPr>
          <w:p w14:paraId="7EBBA7E6" w14:textId="70627347" w:rsidR="00B33B4A" w:rsidRPr="00B33B4A" w:rsidRDefault="00B33B4A" w:rsidP="00B33B4A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color w:val="000000"/>
                <w:lang w:eastAsia="en-AU"/>
              </w:rPr>
            </w:pPr>
            <w:r w:rsidRPr="00B33B4A">
              <w:rPr>
                <w:rFonts w:ascii="Arial" w:hAnsi="Arial" w:cs="Arial"/>
                <w:bCs/>
                <w:color w:val="000000"/>
                <w:lang w:eastAsia="en-AU"/>
              </w:rPr>
              <w:t>Actively raise staff awareness of the Multicultural Queensland Charter and identify opportunities to put its principles into practice in the Commission's work.</w:t>
            </w:r>
          </w:p>
        </w:tc>
        <w:tc>
          <w:tcPr>
            <w:tcW w:w="164" w:type="pct"/>
            <w:vAlign w:val="center"/>
          </w:tcPr>
          <w:p w14:paraId="2DE0E523" w14:textId="77777777" w:rsidR="00B33B4A" w:rsidRDefault="00B33B4A" w:rsidP="00B33B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24620E">
              <w:rPr>
                <w:rFonts w:ascii="Arial" w:hAnsi="Arial" w:cs="Arial"/>
                <w:noProof/>
                <w:color w:val="000000"/>
                <w:sz w:val="17"/>
                <w:szCs w:val="17"/>
                <w:lang w:eastAsia="en-AU"/>
              </w:rPr>
              <w:drawing>
                <wp:inline distT="0" distB="0" distL="0" distR="0" wp14:anchorId="41313870" wp14:editId="184EFEF3">
                  <wp:extent cx="200025" cy="223970"/>
                  <wp:effectExtent l="0" t="0" r="0" b="508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30" cy="2346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5" w:type="pct"/>
            <w:shd w:val="clear" w:color="auto" w:fill="auto"/>
            <w:vAlign w:val="center"/>
          </w:tcPr>
          <w:p w14:paraId="27C32FDB" w14:textId="0CC79D4B" w:rsidR="00B33B4A" w:rsidRPr="008D2CD9" w:rsidRDefault="00B33B4A" w:rsidP="00B33B4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QMHC</w:t>
            </w:r>
          </w:p>
        </w:tc>
        <w:tc>
          <w:tcPr>
            <w:tcW w:w="470" w:type="pct"/>
            <w:shd w:val="clear" w:color="auto" w:fill="auto"/>
            <w:vAlign w:val="center"/>
          </w:tcPr>
          <w:p w14:paraId="060FB902" w14:textId="77777777" w:rsidR="00B33B4A" w:rsidRPr="00732E96" w:rsidRDefault="00B33B4A" w:rsidP="00B33B4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EF43A4">
              <w:rPr>
                <w:rFonts w:ascii="Arial" w:hAnsi="Arial" w:cs="Arial"/>
                <w:bCs/>
              </w:rPr>
              <w:t>2019–22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24392A0A" w14:textId="21EABDCF" w:rsidR="00B33B4A" w:rsidRPr="00B76218" w:rsidRDefault="00B76218" w:rsidP="00B33B4A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bCs/>
              </w:rPr>
            </w:pPr>
            <w:r w:rsidRPr="00B76218">
              <w:rPr>
                <w:rFonts w:ascii="Arial" w:hAnsi="Arial" w:cs="Arial"/>
                <w:bCs/>
              </w:rPr>
              <w:t>On track</w:t>
            </w:r>
          </w:p>
        </w:tc>
        <w:tc>
          <w:tcPr>
            <w:tcW w:w="1302" w:type="pct"/>
            <w:shd w:val="clear" w:color="auto" w:fill="auto"/>
            <w:vAlign w:val="center"/>
          </w:tcPr>
          <w:p w14:paraId="73555104" w14:textId="77777777" w:rsidR="00DD080E" w:rsidRDefault="00B76218" w:rsidP="00DD080E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bCs/>
              </w:rPr>
            </w:pPr>
            <w:r w:rsidRPr="00B76218">
              <w:rPr>
                <w:rFonts w:ascii="Arial" w:hAnsi="Arial" w:cs="Arial"/>
                <w:bCs/>
              </w:rPr>
              <w:t xml:space="preserve">The Commission’s work aligns with the priorities outlined in </w:t>
            </w:r>
            <w:r w:rsidRPr="00B76218">
              <w:rPr>
                <w:rFonts w:ascii="Arial" w:hAnsi="Arial" w:cs="Arial"/>
                <w:bCs/>
                <w:i/>
                <w:iCs/>
              </w:rPr>
              <w:t>Shifting Minds, Queensland Mental Health, Alcohol and Other Drugs Strategic Plan 2018-2023</w:t>
            </w:r>
            <w:r w:rsidR="002E4050">
              <w:rPr>
                <w:rFonts w:ascii="Arial" w:hAnsi="Arial" w:cs="Arial"/>
                <w:bCs/>
                <w:i/>
                <w:iCs/>
              </w:rPr>
              <w:t xml:space="preserve"> </w:t>
            </w:r>
            <w:r w:rsidR="002E4050" w:rsidRPr="002E4050">
              <w:rPr>
                <w:rFonts w:ascii="Arial" w:hAnsi="Arial" w:cs="Arial"/>
                <w:bCs/>
              </w:rPr>
              <w:t xml:space="preserve">a key guiding principle for </w:t>
            </w:r>
            <w:r w:rsidR="002E4050" w:rsidRPr="00DD080E">
              <w:rPr>
                <w:rFonts w:ascii="Arial" w:hAnsi="Arial" w:cs="Arial"/>
                <w:bCs/>
              </w:rPr>
              <w:t xml:space="preserve">which </w:t>
            </w:r>
            <w:r w:rsidR="00DD080E" w:rsidRPr="00DD080E">
              <w:rPr>
                <w:rFonts w:ascii="Arial" w:hAnsi="Arial" w:cs="Arial"/>
                <w:bCs/>
              </w:rPr>
              <w:t xml:space="preserve">is </w:t>
            </w:r>
            <w:r w:rsidR="002E4050" w:rsidRPr="00DD080E">
              <w:rPr>
                <w:rFonts w:ascii="Arial" w:hAnsi="Arial" w:cs="Arial"/>
                <w:bCs/>
              </w:rPr>
              <w:t>valuing</w:t>
            </w:r>
            <w:r w:rsidR="002E4050">
              <w:rPr>
                <w:rFonts w:ascii="Arial" w:hAnsi="Arial" w:cs="Arial"/>
                <w:bCs/>
              </w:rPr>
              <w:t xml:space="preserve"> culture</w:t>
            </w:r>
            <w:r w:rsidR="00DD080E">
              <w:rPr>
                <w:rFonts w:ascii="Arial" w:hAnsi="Arial" w:cs="Arial"/>
                <w:bCs/>
              </w:rPr>
              <w:t xml:space="preserve">. </w:t>
            </w:r>
          </w:p>
          <w:p w14:paraId="400E90D5" w14:textId="14AB8516" w:rsidR="00DD080E" w:rsidRPr="00DD080E" w:rsidRDefault="00DD080E" w:rsidP="00DD080E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bCs/>
              </w:rPr>
            </w:pPr>
            <w:r w:rsidRPr="00DD080E">
              <w:rPr>
                <w:rFonts w:ascii="Arial" w:hAnsi="Arial" w:cs="Arial"/>
                <w:bCs/>
              </w:rPr>
              <w:t xml:space="preserve">This is reflected across </w:t>
            </w:r>
            <w:r w:rsidRPr="00D87EEE">
              <w:rPr>
                <w:rFonts w:ascii="Arial" w:hAnsi="Arial" w:cs="Arial"/>
                <w:bCs/>
                <w:i/>
                <w:iCs/>
              </w:rPr>
              <w:t>Shift Mind</w:t>
            </w:r>
            <w:r w:rsidRPr="00DD080E">
              <w:rPr>
                <w:rFonts w:ascii="Arial" w:hAnsi="Arial" w:cs="Arial"/>
                <w:bCs/>
              </w:rPr>
              <w:t xml:space="preserve"> </w:t>
            </w:r>
            <w:r w:rsidR="00D87EEE">
              <w:rPr>
                <w:rFonts w:ascii="Arial" w:hAnsi="Arial" w:cs="Arial"/>
                <w:bCs/>
              </w:rPr>
              <w:t>A</w:t>
            </w:r>
            <w:r w:rsidRPr="00DD080E">
              <w:rPr>
                <w:rFonts w:ascii="Arial" w:hAnsi="Arial" w:cs="Arial"/>
                <w:bCs/>
              </w:rPr>
              <w:t>rea</w:t>
            </w:r>
            <w:r w:rsidR="00D87EEE">
              <w:rPr>
                <w:rFonts w:ascii="Arial" w:hAnsi="Arial" w:cs="Arial"/>
                <w:bCs/>
              </w:rPr>
              <w:t>s</w:t>
            </w:r>
            <w:r w:rsidRPr="00DD080E">
              <w:rPr>
                <w:rFonts w:ascii="Arial" w:hAnsi="Arial" w:cs="Arial"/>
                <w:bCs/>
              </w:rPr>
              <w:t xml:space="preserve"> of </w:t>
            </w:r>
            <w:r w:rsidR="00D87EEE">
              <w:rPr>
                <w:rFonts w:ascii="Arial" w:hAnsi="Arial" w:cs="Arial"/>
                <w:bCs/>
              </w:rPr>
              <w:t>F</w:t>
            </w:r>
            <w:r w:rsidRPr="00DD080E">
              <w:rPr>
                <w:rFonts w:ascii="Arial" w:hAnsi="Arial" w:cs="Arial"/>
                <w:bCs/>
              </w:rPr>
              <w:t xml:space="preserve">ocus priorities where culturally and linguistically diverse communities’ representation and participation in mental health reform </w:t>
            </w:r>
            <w:r w:rsidR="00D87EEE">
              <w:rPr>
                <w:rFonts w:ascii="Arial" w:hAnsi="Arial" w:cs="Arial"/>
                <w:bCs/>
              </w:rPr>
              <w:t xml:space="preserve">development </w:t>
            </w:r>
            <w:r w:rsidRPr="00DD080E">
              <w:rPr>
                <w:rFonts w:ascii="Arial" w:hAnsi="Arial" w:cs="Arial"/>
                <w:bCs/>
              </w:rPr>
              <w:t>is essential.</w:t>
            </w:r>
          </w:p>
        </w:tc>
      </w:tr>
      <w:tr w:rsidR="00B33B4A" w:rsidRPr="00536B6E" w14:paraId="602AE734" w14:textId="77777777" w:rsidTr="0005388A">
        <w:trPr>
          <w:trHeight w:val="530"/>
          <w:jc w:val="center"/>
        </w:trPr>
        <w:tc>
          <w:tcPr>
            <w:tcW w:w="1894" w:type="pct"/>
            <w:shd w:val="clear" w:color="auto" w:fill="auto"/>
            <w:vAlign w:val="center"/>
          </w:tcPr>
          <w:p w14:paraId="2470AE8F" w14:textId="0BED5E09" w:rsidR="00B33B4A" w:rsidRPr="00B33B4A" w:rsidRDefault="00B33B4A" w:rsidP="00B33B4A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</w:rPr>
            </w:pPr>
            <w:r w:rsidRPr="00B33B4A">
              <w:rPr>
                <w:rFonts w:ascii="Arial" w:hAnsi="Arial" w:cs="Arial"/>
                <w:bCs/>
                <w:lang w:eastAsia="en-AU"/>
              </w:rPr>
              <w:t xml:space="preserve">Identify and act on opportunities to enhance the Commission's work in line with the Multicultural Queensland Charter. </w:t>
            </w:r>
          </w:p>
        </w:tc>
        <w:tc>
          <w:tcPr>
            <w:tcW w:w="164" w:type="pct"/>
            <w:vAlign w:val="center"/>
          </w:tcPr>
          <w:p w14:paraId="11E5733A" w14:textId="659037FC" w:rsidR="00B33B4A" w:rsidRPr="0024620E" w:rsidRDefault="00B33B4A" w:rsidP="00B33B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color w:val="000000"/>
                <w:sz w:val="17"/>
                <w:szCs w:val="17"/>
                <w:lang w:eastAsia="en-AU"/>
              </w:rPr>
            </w:pPr>
            <w:r w:rsidRPr="0024620E">
              <w:rPr>
                <w:rFonts w:ascii="Arial" w:hAnsi="Arial" w:cs="Arial"/>
                <w:noProof/>
                <w:color w:val="000000"/>
                <w:sz w:val="17"/>
                <w:szCs w:val="17"/>
                <w:lang w:eastAsia="en-AU"/>
              </w:rPr>
              <w:drawing>
                <wp:inline distT="0" distB="0" distL="0" distR="0" wp14:anchorId="68C09A42" wp14:editId="3FEABC67">
                  <wp:extent cx="200025" cy="223970"/>
                  <wp:effectExtent l="0" t="0" r="0" b="508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30" cy="2346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5" w:type="pct"/>
            <w:shd w:val="clear" w:color="auto" w:fill="auto"/>
            <w:vAlign w:val="center"/>
          </w:tcPr>
          <w:p w14:paraId="2A82324B" w14:textId="2B4AA0DF" w:rsidR="00B33B4A" w:rsidRDefault="00B33B4A" w:rsidP="00B33B4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QMHC</w:t>
            </w:r>
          </w:p>
        </w:tc>
        <w:tc>
          <w:tcPr>
            <w:tcW w:w="470" w:type="pct"/>
            <w:shd w:val="clear" w:color="auto" w:fill="auto"/>
            <w:vAlign w:val="center"/>
          </w:tcPr>
          <w:p w14:paraId="5FD01FE4" w14:textId="690A629A" w:rsidR="00B33B4A" w:rsidRPr="00EF43A4" w:rsidRDefault="00B33B4A" w:rsidP="00B33B4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EF43A4">
              <w:rPr>
                <w:rFonts w:ascii="Arial" w:hAnsi="Arial" w:cs="Arial"/>
                <w:bCs/>
              </w:rPr>
              <w:t>2019–22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4E6453F4" w14:textId="5084C591" w:rsidR="00B33B4A" w:rsidRPr="00536B6E" w:rsidRDefault="007A710F" w:rsidP="00B33B4A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b/>
              </w:rPr>
            </w:pPr>
            <w:r w:rsidRPr="00B76218">
              <w:rPr>
                <w:rFonts w:ascii="Arial" w:hAnsi="Arial" w:cs="Arial"/>
                <w:bCs/>
              </w:rPr>
              <w:t>On track</w:t>
            </w:r>
          </w:p>
        </w:tc>
        <w:tc>
          <w:tcPr>
            <w:tcW w:w="1302" w:type="pct"/>
            <w:shd w:val="clear" w:color="auto" w:fill="auto"/>
            <w:vAlign w:val="center"/>
          </w:tcPr>
          <w:p w14:paraId="178BF66E" w14:textId="77777777" w:rsidR="007A710F" w:rsidRDefault="007A710F" w:rsidP="00B33B4A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b/>
              </w:rPr>
            </w:pPr>
            <w:r w:rsidRPr="007A710F">
              <w:rPr>
                <w:rFonts w:ascii="Arial" w:hAnsi="Arial" w:cs="Arial"/>
                <w:bCs/>
              </w:rPr>
              <w:t>The Commission works closely with a senior government leadership group established to guide implementation of the strategic plan and to specifically guide its own work program.</w:t>
            </w:r>
            <w:r w:rsidR="00CD0C60">
              <w:rPr>
                <w:rFonts w:ascii="Arial" w:hAnsi="Arial" w:cs="Arial"/>
                <w:bCs/>
              </w:rPr>
              <w:t xml:space="preserve"> This </w:t>
            </w:r>
            <w:r w:rsidRPr="007A710F">
              <w:rPr>
                <w:rFonts w:ascii="Arial" w:hAnsi="Arial" w:cs="Arial"/>
                <w:bCs/>
              </w:rPr>
              <w:t xml:space="preserve">work is </w:t>
            </w:r>
            <w:r>
              <w:rPr>
                <w:rFonts w:ascii="Arial" w:hAnsi="Arial" w:cs="Arial"/>
                <w:bCs/>
              </w:rPr>
              <w:t xml:space="preserve">also </w:t>
            </w:r>
            <w:r w:rsidRPr="007A710F">
              <w:rPr>
                <w:rFonts w:ascii="Arial" w:hAnsi="Arial" w:cs="Arial"/>
                <w:bCs/>
              </w:rPr>
              <w:t xml:space="preserve">guided by numerous </w:t>
            </w:r>
            <w:r w:rsidR="00CD0C60">
              <w:rPr>
                <w:rFonts w:ascii="Arial" w:hAnsi="Arial" w:cs="Arial"/>
                <w:bCs/>
              </w:rPr>
              <w:t>N</w:t>
            </w:r>
            <w:r w:rsidRPr="007A710F">
              <w:rPr>
                <w:rFonts w:ascii="Arial" w:hAnsi="Arial" w:cs="Arial"/>
                <w:bCs/>
              </w:rPr>
              <w:t>ational and Queensland whole of government arrangements including, Framework for Mental Health in Multicultural Australia</w:t>
            </w:r>
            <w:r>
              <w:rPr>
                <w:i/>
                <w:color w:val="231F20"/>
                <w:spacing w:val="-19"/>
                <w:sz w:val="18"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79F5A795" w14:textId="508C8AD3" w:rsidR="004C2C1A" w:rsidRPr="00CD0C60" w:rsidRDefault="004C2C1A" w:rsidP="00B33B4A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The multicultural community has been re</w:t>
            </w:r>
            <w:r w:rsidR="00CD5C50">
              <w:rPr>
                <w:rFonts w:ascii="Arial" w:hAnsi="Arial" w:cs="Arial"/>
                <w:bCs/>
              </w:rPr>
              <w:t>-</w:t>
            </w:r>
            <w:r>
              <w:rPr>
                <w:rFonts w:ascii="Arial" w:hAnsi="Arial" w:cs="Arial"/>
                <w:bCs/>
              </w:rPr>
              <w:t xml:space="preserve">enforces as a key group for consideration when undertaking both its strategic and operational planning. This will include a statement of commitment, like that also provided around human rights.   </w:t>
            </w:r>
          </w:p>
        </w:tc>
      </w:tr>
      <w:tr w:rsidR="00B33B4A" w:rsidRPr="00536B6E" w14:paraId="6696F2AC" w14:textId="77777777" w:rsidTr="0005388A">
        <w:trPr>
          <w:trHeight w:val="530"/>
          <w:jc w:val="center"/>
        </w:trPr>
        <w:tc>
          <w:tcPr>
            <w:tcW w:w="1894" w:type="pct"/>
            <w:shd w:val="clear" w:color="auto" w:fill="auto"/>
            <w:vAlign w:val="center"/>
          </w:tcPr>
          <w:p w14:paraId="3B1BF96C" w14:textId="012E1334" w:rsidR="00B33B4A" w:rsidRPr="00B33B4A" w:rsidRDefault="00B33B4A" w:rsidP="00B33B4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</w:rPr>
            </w:pPr>
            <w:bookmarkStart w:id="2" w:name="_Hlk10557194"/>
            <w:r w:rsidRPr="00B33B4A">
              <w:rPr>
                <w:rFonts w:ascii="Arial" w:hAnsi="Arial" w:cs="Arial"/>
                <w:bCs/>
                <w:noProof/>
              </w:rPr>
              <w:drawing>
                <wp:anchor distT="0" distB="0" distL="114300" distR="114300" simplePos="0" relativeHeight="251688960" behindDoc="0" locked="0" layoutInCell="1" allowOverlap="1" wp14:anchorId="79CFE439" wp14:editId="643BE27E">
                  <wp:simplePos x="0" y="0"/>
                  <wp:positionH relativeFrom="column">
                    <wp:posOffset>4724400</wp:posOffset>
                  </wp:positionH>
                  <wp:positionV relativeFrom="paragraph">
                    <wp:posOffset>-398145</wp:posOffset>
                  </wp:positionV>
                  <wp:extent cx="224790" cy="211455"/>
                  <wp:effectExtent l="0" t="0" r="3810" b="0"/>
                  <wp:wrapNone/>
                  <wp:docPr id="14" name="Picture 14" descr="C:\Users\tohl\AppData\Local\Microsoft\Windows\INetCache\Content.MSO\BC4033F5.tmp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8" name="Picture 438" descr="C:\Users\tohl\AppData\Local\Microsoft\Windows\INetCache\Content.MSO\BC4033F5.tmp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984" t="15788" r="14423" b="23455"/>
                          <a:stretch/>
                        </pic:blipFill>
                        <pic:spPr bwMode="auto">
                          <a:xfrm>
                            <a:off x="0" y="0"/>
                            <a:ext cx="224790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33B4A">
              <w:rPr>
                <w:rFonts w:ascii="Arial" w:hAnsi="Arial" w:cs="Arial"/>
                <w:bCs/>
              </w:rPr>
              <w:t xml:space="preserve">Sign up and participate in the Australian Human Rights Commission  </w:t>
            </w:r>
            <w:r>
              <w:rPr>
                <w:rFonts w:ascii="Arial" w:hAnsi="Arial" w:cs="Arial"/>
                <w:bCs/>
              </w:rPr>
              <w:t xml:space="preserve">    </w:t>
            </w:r>
            <w:r w:rsidRPr="00B33B4A">
              <w:rPr>
                <w:rFonts w:ascii="Arial" w:hAnsi="Arial" w:cs="Arial"/>
                <w:bCs/>
                <w:i/>
              </w:rPr>
              <w:t>Racism. It stops with me</w:t>
            </w:r>
            <w:r w:rsidRPr="00B33B4A">
              <w:rPr>
                <w:rFonts w:ascii="Arial" w:hAnsi="Arial" w:cs="Arial"/>
                <w:bCs/>
              </w:rPr>
              <w:t xml:space="preserve"> campaign</w:t>
            </w:r>
            <w:bookmarkEnd w:id="2"/>
            <w:r w:rsidR="004A0A9C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164" w:type="pct"/>
            <w:vAlign w:val="center"/>
          </w:tcPr>
          <w:p w14:paraId="3B3C6C64" w14:textId="4B629F3F" w:rsidR="00B33B4A" w:rsidRPr="0024620E" w:rsidRDefault="00B33B4A" w:rsidP="00B33B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color w:val="000000"/>
                <w:sz w:val="17"/>
                <w:szCs w:val="17"/>
                <w:lang w:eastAsia="en-AU"/>
              </w:rPr>
            </w:pPr>
            <w:r w:rsidRPr="0024620E">
              <w:rPr>
                <w:rFonts w:ascii="Arial" w:hAnsi="Arial" w:cs="Arial"/>
                <w:noProof/>
                <w:color w:val="000000"/>
                <w:sz w:val="17"/>
                <w:szCs w:val="17"/>
                <w:lang w:eastAsia="en-AU"/>
              </w:rPr>
              <w:drawing>
                <wp:inline distT="0" distB="0" distL="0" distR="0" wp14:anchorId="21841C90" wp14:editId="644890A2">
                  <wp:extent cx="200025" cy="223970"/>
                  <wp:effectExtent l="0" t="0" r="0" b="508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30" cy="2346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5" w:type="pct"/>
            <w:shd w:val="clear" w:color="auto" w:fill="auto"/>
            <w:vAlign w:val="center"/>
          </w:tcPr>
          <w:p w14:paraId="18170F19" w14:textId="4EE18C43" w:rsidR="00B33B4A" w:rsidRDefault="00B33B4A" w:rsidP="00B33B4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All agencies </w:t>
            </w:r>
          </w:p>
        </w:tc>
        <w:tc>
          <w:tcPr>
            <w:tcW w:w="470" w:type="pct"/>
            <w:shd w:val="clear" w:color="auto" w:fill="auto"/>
            <w:vAlign w:val="center"/>
          </w:tcPr>
          <w:p w14:paraId="47AAF298" w14:textId="3DCED862" w:rsidR="00B33B4A" w:rsidRPr="00EF43A4" w:rsidRDefault="00B33B4A" w:rsidP="00B33B4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8D2CD9">
              <w:rPr>
                <w:rFonts w:ascii="Arial" w:hAnsi="Arial" w:cs="Arial"/>
              </w:rPr>
              <w:t>2019–22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04299A1F" w14:textId="4D7B13ED" w:rsidR="00B33B4A" w:rsidRPr="00536B6E" w:rsidRDefault="00947B6A" w:rsidP="00B33B4A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b/>
              </w:rPr>
            </w:pPr>
            <w:r w:rsidRPr="00947B6A">
              <w:rPr>
                <w:rFonts w:ascii="Arial" w:hAnsi="Arial" w:cs="Arial"/>
                <w:bCs/>
              </w:rPr>
              <w:t>On Track</w:t>
            </w:r>
          </w:p>
        </w:tc>
        <w:tc>
          <w:tcPr>
            <w:tcW w:w="1302" w:type="pct"/>
            <w:shd w:val="clear" w:color="auto" w:fill="auto"/>
            <w:vAlign w:val="center"/>
          </w:tcPr>
          <w:p w14:paraId="3D7AC2A7" w14:textId="3AB6B2FE" w:rsidR="004C2C1A" w:rsidRDefault="00CD0C60" w:rsidP="00B33B4A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bCs/>
              </w:rPr>
            </w:pPr>
            <w:r w:rsidRPr="00CD0C60">
              <w:rPr>
                <w:rFonts w:ascii="Arial" w:hAnsi="Arial" w:cs="Arial"/>
                <w:bCs/>
              </w:rPr>
              <w:t>After release of the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CD0C60">
              <w:rPr>
                <w:rFonts w:ascii="Arial" w:hAnsi="Arial" w:cs="Arial"/>
                <w:bCs/>
                <w:i/>
                <w:iCs/>
              </w:rPr>
              <w:t>Human Rights Commission Act 2019</w:t>
            </w:r>
            <w:r w:rsidRPr="00CD0C60">
              <w:rPr>
                <w:rFonts w:ascii="Arial" w:hAnsi="Arial" w:cs="Arial"/>
                <w:bCs/>
              </w:rPr>
              <w:t>, the</w:t>
            </w:r>
            <w:r>
              <w:rPr>
                <w:rFonts w:ascii="Arial" w:hAnsi="Arial" w:cs="Arial"/>
                <w:bCs/>
              </w:rPr>
              <w:t xml:space="preserve"> Commission conducted training with its staff to re</w:t>
            </w:r>
            <w:r w:rsidR="00CD5C50">
              <w:rPr>
                <w:rFonts w:ascii="Arial" w:hAnsi="Arial" w:cs="Arial"/>
                <w:bCs/>
              </w:rPr>
              <w:t>-</w:t>
            </w:r>
            <w:r>
              <w:rPr>
                <w:rFonts w:ascii="Arial" w:hAnsi="Arial" w:cs="Arial"/>
                <w:bCs/>
              </w:rPr>
              <w:t xml:space="preserve">enforce the importance of Human Rights </w:t>
            </w:r>
            <w:r w:rsidR="004C2C1A">
              <w:rPr>
                <w:rFonts w:ascii="Arial" w:hAnsi="Arial" w:cs="Arial"/>
                <w:bCs/>
              </w:rPr>
              <w:t xml:space="preserve">consideration </w:t>
            </w:r>
            <w:r>
              <w:rPr>
                <w:rFonts w:ascii="Arial" w:hAnsi="Arial" w:cs="Arial"/>
                <w:bCs/>
              </w:rPr>
              <w:t xml:space="preserve">in all </w:t>
            </w:r>
            <w:r w:rsidR="004C2C1A">
              <w:rPr>
                <w:rFonts w:ascii="Arial" w:hAnsi="Arial" w:cs="Arial"/>
                <w:bCs/>
              </w:rPr>
              <w:t>work undertaken.</w:t>
            </w:r>
          </w:p>
          <w:p w14:paraId="5710C663" w14:textId="1A6B5AFD" w:rsidR="004C2C1A" w:rsidRDefault="004C2C1A" w:rsidP="00B33B4A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Note that like multiculturalism, human rights </w:t>
            </w:r>
            <w:r w:rsidR="009C698C">
              <w:rPr>
                <w:rFonts w:ascii="Arial" w:hAnsi="Arial" w:cs="Arial"/>
                <w:bCs/>
              </w:rPr>
              <w:t>is</w:t>
            </w:r>
            <w:r>
              <w:rPr>
                <w:rFonts w:ascii="Arial" w:hAnsi="Arial" w:cs="Arial"/>
                <w:bCs/>
              </w:rPr>
              <w:t xml:space="preserve"> a guiding principle of </w:t>
            </w:r>
            <w:r w:rsidRPr="009C698C">
              <w:rPr>
                <w:rFonts w:ascii="Arial" w:hAnsi="Arial" w:cs="Arial"/>
                <w:bCs/>
                <w:i/>
                <w:iCs/>
              </w:rPr>
              <w:t>Shifting Minds</w:t>
            </w:r>
            <w:r w:rsidR="009C698C">
              <w:rPr>
                <w:rFonts w:ascii="Arial" w:hAnsi="Arial" w:cs="Arial"/>
                <w:bCs/>
                <w:i/>
                <w:iCs/>
              </w:rPr>
              <w:t>.</w:t>
            </w:r>
          </w:p>
          <w:p w14:paraId="4B0A5620" w14:textId="207A31DE" w:rsidR="00B33B4A" w:rsidRPr="00536B6E" w:rsidRDefault="00CD0C60" w:rsidP="00B33B4A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Cs/>
                <w:i/>
                <w:iCs/>
              </w:rPr>
              <w:t xml:space="preserve"> </w:t>
            </w:r>
          </w:p>
        </w:tc>
      </w:tr>
      <w:tr w:rsidR="00B33B4A" w:rsidRPr="0054491B" w14:paraId="2228F153" w14:textId="77777777" w:rsidTr="0005388A">
        <w:trPr>
          <w:jc w:val="center"/>
        </w:trPr>
        <w:tc>
          <w:tcPr>
            <w:tcW w:w="5000" w:type="pct"/>
            <w:gridSpan w:val="6"/>
            <w:shd w:val="clear" w:color="auto" w:fill="4F81BD"/>
          </w:tcPr>
          <w:p w14:paraId="552B479C" w14:textId="77777777" w:rsidR="00B33B4A" w:rsidRPr="00F25BCF" w:rsidRDefault="00B33B4A" w:rsidP="00B33B4A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Insert</w:t>
            </w:r>
            <w:r w:rsidRPr="00F25BCF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 xml:space="preserve">case studies or </w:t>
            </w:r>
            <w:r w:rsidRPr="00F25BCF">
              <w:rPr>
                <w:rFonts w:ascii="Arial" w:hAnsi="Arial" w:cs="Arial"/>
                <w:b/>
                <w:bCs/>
              </w:rPr>
              <w:t>good news stories</w:t>
            </w:r>
            <w:r>
              <w:rPr>
                <w:rFonts w:ascii="Arial" w:hAnsi="Arial" w:cs="Arial"/>
                <w:b/>
                <w:bCs/>
              </w:rPr>
              <w:t xml:space="preserve"> to highlight achievements</w:t>
            </w:r>
            <w:r w:rsidRPr="00F25BCF">
              <w:rPr>
                <w:rFonts w:ascii="Arial" w:hAnsi="Arial" w:cs="Arial"/>
                <w:b/>
                <w:bCs/>
              </w:rPr>
              <w:t xml:space="preserve"> relevant to </w:t>
            </w:r>
            <w:r>
              <w:rPr>
                <w:rFonts w:ascii="Arial" w:hAnsi="Arial" w:cs="Arial"/>
                <w:b/>
                <w:bCs/>
              </w:rPr>
              <w:t>Priority area 2</w:t>
            </w:r>
            <w:r w:rsidRPr="00F25BCF">
              <w:rPr>
                <w:rFonts w:ascii="Arial" w:hAnsi="Arial" w:cs="Arial"/>
                <w:b/>
                <w:bCs/>
              </w:rPr>
              <w:t>:</w:t>
            </w:r>
          </w:p>
          <w:p w14:paraId="7866FDF1" w14:textId="4A3277AF" w:rsidR="00B33B4A" w:rsidRPr="0054491B" w:rsidRDefault="00B33B4A" w:rsidP="00B33B4A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NIL</w:t>
            </w:r>
          </w:p>
        </w:tc>
      </w:tr>
    </w:tbl>
    <w:p w14:paraId="6557D4D0" w14:textId="1B93B49D" w:rsidR="00C02324" w:rsidRDefault="00C02324" w:rsidP="00947B6A">
      <w:pPr>
        <w:rPr>
          <w:rFonts w:ascii="Arial" w:hAnsi="Arial" w:cs="Arial"/>
        </w:rPr>
      </w:pPr>
    </w:p>
    <w:sectPr w:rsidR="00C02324" w:rsidSect="0005388A">
      <w:pgSz w:w="23814" w:h="16840" w:orient="landscape" w:code="8"/>
      <w:pgMar w:top="1440" w:right="1440" w:bottom="144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4F404F" w14:textId="77777777" w:rsidR="00202825" w:rsidRDefault="00202825" w:rsidP="00142196">
      <w:pPr>
        <w:spacing w:after="0" w:line="240" w:lineRule="auto"/>
      </w:pPr>
      <w:r>
        <w:separator/>
      </w:r>
    </w:p>
  </w:endnote>
  <w:endnote w:type="continuationSeparator" w:id="0">
    <w:p w14:paraId="6B5F538E" w14:textId="77777777" w:rsidR="00202825" w:rsidRDefault="00202825" w:rsidP="00142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308567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DBC994" w14:textId="6445915D" w:rsidR="00D25E17" w:rsidRDefault="00D25E1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96E7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2F1E8F4" w14:textId="77777777" w:rsidR="00D25E17" w:rsidRDefault="00D25E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9D9D99" w14:textId="77777777" w:rsidR="00202825" w:rsidRDefault="00202825" w:rsidP="00142196">
      <w:pPr>
        <w:spacing w:after="0" w:line="240" w:lineRule="auto"/>
      </w:pPr>
      <w:r>
        <w:separator/>
      </w:r>
    </w:p>
  </w:footnote>
  <w:footnote w:type="continuationSeparator" w:id="0">
    <w:p w14:paraId="22AEC3A9" w14:textId="77777777" w:rsidR="00202825" w:rsidRDefault="00202825" w:rsidP="001421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5A276E"/>
    <w:multiLevelType w:val="hybridMultilevel"/>
    <w:tmpl w:val="A7D2989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18021A"/>
    <w:multiLevelType w:val="hybridMultilevel"/>
    <w:tmpl w:val="953A5F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2C25EF"/>
    <w:multiLevelType w:val="hybridMultilevel"/>
    <w:tmpl w:val="092058D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2E52BED"/>
    <w:multiLevelType w:val="hybridMultilevel"/>
    <w:tmpl w:val="A32431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346FAD"/>
    <w:multiLevelType w:val="hybridMultilevel"/>
    <w:tmpl w:val="BC661D4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A0E604F"/>
    <w:multiLevelType w:val="hybridMultilevel"/>
    <w:tmpl w:val="0DF283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807255"/>
    <w:multiLevelType w:val="hybridMultilevel"/>
    <w:tmpl w:val="EA80C07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C237050"/>
    <w:multiLevelType w:val="hybridMultilevel"/>
    <w:tmpl w:val="C7F20F1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C600D19"/>
    <w:multiLevelType w:val="hybridMultilevel"/>
    <w:tmpl w:val="2C342B2A"/>
    <w:lvl w:ilvl="0" w:tplc="792A9B6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67C4D9B"/>
    <w:multiLevelType w:val="hybridMultilevel"/>
    <w:tmpl w:val="E0942B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A243DF"/>
    <w:multiLevelType w:val="hybridMultilevel"/>
    <w:tmpl w:val="E974BC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745410"/>
    <w:multiLevelType w:val="hybridMultilevel"/>
    <w:tmpl w:val="9072F10C"/>
    <w:lvl w:ilvl="0" w:tplc="08867B8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F930CA4"/>
    <w:multiLevelType w:val="hybridMultilevel"/>
    <w:tmpl w:val="3D1228F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0"/>
  </w:num>
  <w:num w:numId="3">
    <w:abstractNumId w:val="0"/>
  </w:num>
  <w:num w:numId="4">
    <w:abstractNumId w:val="10"/>
  </w:num>
  <w:num w:numId="5">
    <w:abstractNumId w:val="10"/>
  </w:num>
  <w:num w:numId="6">
    <w:abstractNumId w:val="11"/>
  </w:num>
  <w:num w:numId="7">
    <w:abstractNumId w:val="12"/>
  </w:num>
  <w:num w:numId="8">
    <w:abstractNumId w:val="4"/>
  </w:num>
  <w:num w:numId="9">
    <w:abstractNumId w:val="8"/>
  </w:num>
  <w:num w:numId="10">
    <w:abstractNumId w:val="2"/>
  </w:num>
  <w:num w:numId="11">
    <w:abstractNumId w:val="1"/>
  </w:num>
  <w:num w:numId="12">
    <w:abstractNumId w:val="5"/>
  </w:num>
  <w:num w:numId="13">
    <w:abstractNumId w:val="6"/>
  </w:num>
  <w:num w:numId="14">
    <w:abstractNumId w:val="9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196"/>
    <w:rsid w:val="00007B2B"/>
    <w:rsid w:val="00012B2C"/>
    <w:rsid w:val="00014BF4"/>
    <w:rsid w:val="00017E08"/>
    <w:rsid w:val="00022B2D"/>
    <w:rsid w:val="00023D24"/>
    <w:rsid w:val="000329B5"/>
    <w:rsid w:val="000409ED"/>
    <w:rsid w:val="00043F75"/>
    <w:rsid w:val="00045AE4"/>
    <w:rsid w:val="000469B6"/>
    <w:rsid w:val="0005388A"/>
    <w:rsid w:val="0008115E"/>
    <w:rsid w:val="00092816"/>
    <w:rsid w:val="00095969"/>
    <w:rsid w:val="000A574C"/>
    <w:rsid w:val="000C047D"/>
    <w:rsid w:val="000D0F2C"/>
    <w:rsid w:val="000D7B22"/>
    <w:rsid w:val="000E1B83"/>
    <w:rsid w:val="000E1D0E"/>
    <w:rsid w:val="00100F8E"/>
    <w:rsid w:val="00105985"/>
    <w:rsid w:val="00115183"/>
    <w:rsid w:val="00115FAA"/>
    <w:rsid w:val="00126857"/>
    <w:rsid w:val="00126C79"/>
    <w:rsid w:val="00140C80"/>
    <w:rsid w:val="00142196"/>
    <w:rsid w:val="00151D6C"/>
    <w:rsid w:val="001520C7"/>
    <w:rsid w:val="00174D50"/>
    <w:rsid w:val="0018035D"/>
    <w:rsid w:val="00191F68"/>
    <w:rsid w:val="001928E6"/>
    <w:rsid w:val="00195310"/>
    <w:rsid w:val="00195ED6"/>
    <w:rsid w:val="00197C5E"/>
    <w:rsid w:val="001A51D5"/>
    <w:rsid w:val="001A640E"/>
    <w:rsid w:val="001B3B94"/>
    <w:rsid w:val="001B6BA6"/>
    <w:rsid w:val="001F0608"/>
    <w:rsid w:val="001F1E36"/>
    <w:rsid w:val="00202825"/>
    <w:rsid w:val="00212B71"/>
    <w:rsid w:val="00216C6D"/>
    <w:rsid w:val="00220034"/>
    <w:rsid w:val="002405AA"/>
    <w:rsid w:val="002406E8"/>
    <w:rsid w:val="002468B1"/>
    <w:rsid w:val="00260879"/>
    <w:rsid w:val="00264718"/>
    <w:rsid w:val="002702FD"/>
    <w:rsid w:val="0027090B"/>
    <w:rsid w:val="00271A84"/>
    <w:rsid w:val="00275807"/>
    <w:rsid w:val="002811AF"/>
    <w:rsid w:val="00293121"/>
    <w:rsid w:val="002A646A"/>
    <w:rsid w:val="002B7AC3"/>
    <w:rsid w:val="002C6226"/>
    <w:rsid w:val="002E4050"/>
    <w:rsid w:val="002E577C"/>
    <w:rsid w:val="002E69B8"/>
    <w:rsid w:val="002E7090"/>
    <w:rsid w:val="002F48A0"/>
    <w:rsid w:val="00300C59"/>
    <w:rsid w:val="00306CAA"/>
    <w:rsid w:val="003115CC"/>
    <w:rsid w:val="00313E16"/>
    <w:rsid w:val="003143CC"/>
    <w:rsid w:val="00316402"/>
    <w:rsid w:val="00335647"/>
    <w:rsid w:val="003429D9"/>
    <w:rsid w:val="00346DB4"/>
    <w:rsid w:val="00347C98"/>
    <w:rsid w:val="0035397B"/>
    <w:rsid w:val="0035578A"/>
    <w:rsid w:val="003652AC"/>
    <w:rsid w:val="0038157F"/>
    <w:rsid w:val="003B6101"/>
    <w:rsid w:val="003B6FFC"/>
    <w:rsid w:val="003D315C"/>
    <w:rsid w:val="003E13F1"/>
    <w:rsid w:val="003E2418"/>
    <w:rsid w:val="00416D8B"/>
    <w:rsid w:val="004330A8"/>
    <w:rsid w:val="004338EF"/>
    <w:rsid w:val="00434069"/>
    <w:rsid w:val="00435F48"/>
    <w:rsid w:val="004402D6"/>
    <w:rsid w:val="00441EC2"/>
    <w:rsid w:val="00442D78"/>
    <w:rsid w:val="00450237"/>
    <w:rsid w:val="004514FF"/>
    <w:rsid w:val="0045581F"/>
    <w:rsid w:val="00472BE3"/>
    <w:rsid w:val="00493DC0"/>
    <w:rsid w:val="004955B9"/>
    <w:rsid w:val="00495A8B"/>
    <w:rsid w:val="004A0828"/>
    <w:rsid w:val="004A0A9C"/>
    <w:rsid w:val="004A3D25"/>
    <w:rsid w:val="004A53DA"/>
    <w:rsid w:val="004B1AC1"/>
    <w:rsid w:val="004C18B0"/>
    <w:rsid w:val="004C1EBA"/>
    <w:rsid w:val="004C2C1A"/>
    <w:rsid w:val="004C4533"/>
    <w:rsid w:val="004D5AB7"/>
    <w:rsid w:val="004F1611"/>
    <w:rsid w:val="0050653B"/>
    <w:rsid w:val="00506C97"/>
    <w:rsid w:val="005255B8"/>
    <w:rsid w:val="00534C28"/>
    <w:rsid w:val="00536B6E"/>
    <w:rsid w:val="00536C6E"/>
    <w:rsid w:val="0054491B"/>
    <w:rsid w:val="00557D37"/>
    <w:rsid w:val="00562815"/>
    <w:rsid w:val="005631AB"/>
    <w:rsid w:val="00567930"/>
    <w:rsid w:val="00567CD3"/>
    <w:rsid w:val="00575E0C"/>
    <w:rsid w:val="0057640B"/>
    <w:rsid w:val="005767BA"/>
    <w:rsid w:val="005904EF"/>
    <w:rsid w:val="00592E15"/>
    <w:rsid w:val="00597A72"/>
    <w:rsid w:val="005B3F21"/>
    <w:rsid w:val="005D006A"/>
    <w:rsid w:val="005D1FCA"/>
    <w:rsid w:val="005D40F7"/>
    <w:rsid w:val="005D7BC2"/>
    <w:rsid w:val="005F0B1B"/>
    <w:rsid w:val="00616022"/>
    <w:rsid w:val="00622F28"/>
    <w:rsid w:val="00652640"/>
    <w:rsid w:val="00656290"/>
    <w:rsid w:val="0065755A"/>
    <w:rsid w:val="006629EA"/>
    <w:rsid w:val="00663649"/>
    <w:rsid w:val="00673A52"/>
    <w:rsid w:val="0067498C"/>
    <w:rsid w:val="006923E3"/>
    <w:rsid w:val="006969B6"/>
    <w:rsid w:val="00696E7C"/>
    <w:rsid w:val="006C4488"/>
    <w:rsid w:val="006D5575"/>
    <w:rsid w:val="006F5C66"/>
    <w:rsid w:val="0071498E"/>
    <w:rsid w:val="00732E96"/>
    <w:rsid w:val="00735CB3"/>
    <w:rsid w:val="007612AA"/>
    <w:rsid w:val="0076474D"/>
    <w:rsid w:val="00770B34"/>
    <w:rsid w:val="00775BF8"/>
    <w:rsid w:val="007773A4"/>
    <w:rsid w:val="0078176A"/>
    <w:rsid w:val="00783AF8"/>
    <w:rsid w:val="00791EB2"/>
    <w:rsid w:val="00792BB0"/>
    <w:rsid w:val="0079340E"/>
    <w:rsid w:val="007A710F"/>
    <w:rsid w:val="007B234F"/>
    <w:rsid w:val="007B3E6F"/>
    <w:rsid w:val="007C076B"/>
    <w:rsid w:val="007C30E5"/>
    <w:rsid w:val="007D49EB"/>
    <w:rsid w:val="007E31A1"/>
    <w:rsid w:val="007F2461"/>
    <w:rsid w:val="00823768"/>
    <w:rsid w:val="00827859"/>
    <w:rsid w:val="00843A17"/>
    <w:rsid w:val="00847578"/>
    <w:rsid w:val="00847E45"/>
    <w:rsid w:val="00853CBB"/>
    <w:rsid w:val="0088053A"/>
    <w:rsid w:val="008829ED"/>
    <w:rsid w:val="0088576C"/>
    <w:rsid w:val="008958D7"/>
    <w:rsid w:val="008A2197"/>
    <w:rsid w:val="008A238A"/>
    <w:rsid w:val="008B17B4"/>
    <w:rsid w:val="008B36B0"/>
    <w:rsid w:val="008B3760"/>
    <w:rsid w:val="008B4750"/>
    <w:rsid w:val="008C0BE7"/>
    <w:rsid w:val="008C4A1D"/>
    <w:rsid w:val="008C7630"/>
    <w:rsid w:val="008D2CD9"/>
    <w:rsid w:val="008D515F"/>
    <w:rsid w:val="008F63B5"/>
    <w:rsid w:val="00900049"/>
    <w:rsid w:val="00901C8E"/>
    <w:rsid w:val="00930939"/>
    <w:rsid w:val="00947B6A"/>
    <w:rsid w:val="009711F9"/>
    <w:rsid w:val="00974C33"/>
    <w:rsid w:val="009769EF"/>
    <w:rsid w:val="00981819"/>
    <w:rsid w:val="0098605D"/>
    <w:rsid w:val="009B2D69"/>
    <w:rsid w:val="009C698C"/>
    <w:rsid w:val="00A14ED4"/>
    <w:rsid w:val="00A16CAC"/>
    <w:rsid w:val="00A1718D"/>
    <w:rsid w:val="00A40D35"/>
    <w:rsid w:val="00A546F2"/>
    <w:rsid w:val="00A55D1F"/>
    <w:rsid w:val="00A61CBF"/>
    <w:rsid w:val="00A710A9"/>
    <w:rsid w:val="00A7641B"/>
    <w:rsid w:val="00A86725"/>
    <w:rsid w:val="00A9145B"/>
    <w:rsid w:val="00A92A4C"/>
    <w:rsid w:val="00A9447F"/>
    <w:rsid w:val="00A95813"/>
    <w:rsid w:val="00AB4A2F"/>
    <w:rsid w:val="00AD7E66"/>
    <w:rsid w:val="00AF1179"/>
    <w:rsid w:val="00B0348F"/>
    <w:rsid w:val="00B0497D"/>
    <w:rsid w:val="00B25435"/>
    <w:rsid w:val="00B30231"/>
    <w:rsid w:val="00B3262A"/>
    <w:rsid w:val="00B32952"/>
    <w:rsid w:val="00B33B4A"/>
    <w:rsid w:val="00B33C06"/>
    <w:rsid w:val="00B42D01"/>
    <w:rsid w:val="00B506F5"/>
    <w:rsid w:val="00B55949"/>
    <w:rsid w:val="00B56B9C"/>
    <w:rsid w:val="00B63518"/>
    <w:rsid w:val="00B76218"/>
    <w:rsid w:val="00B94CFE"/>
    <w:rsid w:val="00BA64D9"/>
    <w:rsid w:val="00BC684C"/>
    <w:rsid w:val="00BE42DA"/>
    <w:rsid w:val="00BE4DF5"/>
    <w:rsid w:val="00BF1C27"/>
    <w:rsid w:val="00BF6BEF"/>
    <w:rsid w:val="00C02324"/>
    <w:rsid w:val="00C026F9"/>
    <w:rsid w:val="00C07F35"/>
    <w:rsid w:val="00C10DD7"/>
    <w:rsid w:val="00C13864"/>
    <w:rsid w:val="00C37777"/>
    <w:rsid w:val="00C542B5"/>
    <w:rsid w:val="00C5539B"/>
    <w:rsid w:val="00C659A8"/>
    <w:rsid w:val="00C717E9"/>
    <w:rsid w:val="00C8565F"/>
    <w:rsid w:val="00C85864"/>
    <w:rsid w:val="00C92DEE"/>
    <w:rsid w:val="00C93CBB"/>
    <w:rsid w:val="00CA079A"/>
    <w:rsid w:val="00CB662F"/>
    <w:rsid w:val="00CC09B3"/>
    <w:rsid w:val="00CC741B"/>
    <w:rsid w:val="00CD0C10"/>
    <w:rsid w:val="00CD0C60"/>
    <w:rsid w:val="00CD5C50"/>
    <w:rsid w:val="00CE3C0C"/>
    <w:rsid w:val="00CF06B0"/>
    <w:rsid w:val="00D001F3"/>
    <w:rsid w:val="00D05DC2"/>
    <w:rsid w:val="00D116B3"/>
    <w:rsid w:val="00D25E17"/>
    <w:rsid w:val="00D37664"/>
    <w:rsid w:val="00D550CB"/>
    <w:rsid w:val="00D629FC"/>
    <w:rsid w:val="00D7102C"/>
    <w:rsid w:val="00D87EEE"/>
    <w:rsid w:val="00DA6EEC"/>
    <w:rsid w:val="00DB2AD4"/>
    <w:rsid w:val="00DB6BB1"/>
    <w:rsid w:val="00DC52C9"/>
    <w:rsid w:val="00DD054C"/>
    <w:rsid w:val="00DD080E"/>
    <w:rsid w:val="00DD2577"/>
    <w:rsid w:val="00DD7043"/>
    <w:rsid w:val="00DD7F0C"/>
    <w:rsid w:val="00DE5DE4"/>
    <w:rsid w:val="00E11DE6"/>
    <w:rsid w:val="00E20C0D"/>
    <w:rsid w:val="00E2768B"/>
    <w:rsid w:val="00E31ECC"/>
    <w:rsid w:val="00E40CCE"/>
    <w:rsid w:val="00E54734"/>
    <w:rsid w:val="00E64BC5"/>
    <w:rsid w:val="00E6546A"/>
    <w:rsid w:val="00E6676A"/>
    <w:rsid w:val="00E94B9B"/>
    <w:rsid w:val="00EB47BE"/>
    <w:rsid w:val="00EE0911"/>
    <w:rsid w:val="00EE4AA6"/>
    <w:rsid w:val="00EF43A4"/>
    <w:rsid w:val="00F172D5"/>
    <w:rsid w:val="00F24837"/>
    <w:rsid w:val="00F25BCF"/>
    <w:rsid w:val="00F27C83"/>
    <w:rsid w:val="00F34621"/>
    <w:rsid w:val="00F36CD5"/>
    <w:rsid w:val="00F47040"/>
    <w:rsid w:val="00F53E1B"/>
    <w:rsid w:val="00F57B89"/>
    <w:rsid w:val="00F61A64"/>
    <w:rsid w:val="00F63797"/>
    <w:rsid w:val="00F711A0"/>
    <w:rsid w:val="00F7258F"/>
    <w:rsid w:val="00F73B55"/>
    <w:rsid w:val="00F76B55"/>
    <w:rsid w:val="00F83966"/>
    <w:rsid w:val="00F8483E"/>
    <w:rsid w:val="00F91CD5"/>
    <w:rsid w:val="00F92C95"/>
    <w:rsid w:val="00FA2497"/>
    <w:rsid w:val="00FB0FB5"/>
    <w:rsid w:val="00FB19F5"/>
    <w:rsid w:val="00FC2B34"/>
    <w:rsid w:val="00FD0BD2"/>
    <w:rsid w:val="00FD21B2"/>
    <w:rsid w:val="00FD4ED2"/>
    <w:rsid w:val="00FE5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5900759"/>
  <w14:defaultImageDpi w14:val="0"/>
  <w15:docId w15:val="{5F2C0438-D5CE-4341-B71B-205EB5272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HAns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2406E8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21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42196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1421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42196"/>
    <w:rPr>
      <w:rFonts w:cs="Times New Roman"/>
    </w:rPr>
  </w:style>
  <w:style w:type="table" w:styleId="TableGrid">
    <w:name w:val="Table Grid"/>
    <w:basedOn w:val="TableNormal"/>
    <w:uiPriority w:val="39"/>
    <w:rsid w:val="00656290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4491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7B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57B8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92A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2A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2A4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2A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2A4C"/>
    <w:rPr>
      <w:rFonts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27C8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969B6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6CA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2768B"/>
    <w:pPr>
      <w:spacing w:after="0" w:line="240" w:lineRule="auto"/>
    </w:pPr>
    <w:rPr>
      <w:rFonts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2406E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406E8"/>
    <w:pPr>
      <w:spacing w:after="0" w:line="240" w:lineRule="auto"/>
    </w:pPr>
    <w:rPr>
      <w:rFonts w:eastAsiaTheme="minorHAnsi" w:cstheme="minorBidi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406E8"/>
    <w:rPr>
      <w:rFonts w:eastAsiaTheme="minorHAnsi" w:cstheme="minorBidi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2406E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63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dlgrma.qld.gov.a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yperlink" Target="#_2._Use_diversity"/><Relationship Id="rId4" Type="http://schemas.openxmlformats.org/officeDocument/2006/relationships/settings" Target="settings.xml"/><Relationship Id="rId9" Type="http://schemas.openxmlformats.org/officeDocument/2006/relationships/hyperlink" Target="http://www.dlgrma.qld.gov.au/resources/multicultural/policy-governance/qmap-16-19-actions.pdf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500FC8-1F49-45EE-B267-C07F9AD1E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4</Pages>
  <Words>1046</Words>
  <Characters>5963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6996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Allen-Ankins</dc:creator>
  <cp:keywords/>
  <dc:description/>
  <cp:lastModifiedBy>Cate Thompson</cp:lastModifiedBy>
  <cp:revision>6</cp:revision>
  <cp:lastPrinted>2016-12-14T23:50:00Z</cp:lastPrinted>
  <dcterms:created xsi:type="dcterms:W3CDTF">2020-10-20T00:58:00Z</dcterms:created>
  <dcterms:modified xsi:type="dcterms:W3CDTF">2020-10-21T01:39:00Z</dcterms:modified>
</cp:coreProperties>
</file>